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War &amp; Terrorism Excess of Loss Binder — Updated Strategy</w:t>
      </w:r>
    </w:p>
    <w:p>
      <w:pPr>
        <w:pStyle w:val="Author"/>
      </w:pPr>
      <w:r>
        <w:t xml:space="preserve">Connect Underwriting Ltd</w:t>
      </w:r>
    </w:p>
    <w:p>
      <w:pPr>
        <w:pStyle w:val="Date"/>
      </w:pPr>
      <w:r>
        <w:t xml:space="preserve">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63" w:name="updated-strategy-document"/>
    <w:p>
      <w:pPr>
        <w:pStyle w:val="Heading1"/>
      </w:pPr>
      <w:r>
        <w:t xml:space="preserve">Updated Strategy Document</w:t>
      </w:r>
    </w:p>
    <w:bookmarkStart w:id="21" w:name="war-terrorism-excess-of-loss-binder"/>
    <w:p>
      <w:pPr>
        <w:pStyle w:val="Heading2"/>
      </w:pPr>
      <w:r>
        <w:t xml:space="preserve">War &amp; Terrorism Excess of Loss Binder</w:t>
      </w:r>
    </w:p>
    <w:bookmarkStart w:id="20" w:name="X478904cc5b61adde53f770b9733b5da9518a478"/>
    <w:p>
      <w:pPr>
        <w:pStyle w:val="Heading3"/>
      </w:pPr>
      <w:r>
        <w:t xml:space="preserve">Connect Underwriting Ltd — Canopius Syndicate, Lloyd’s of London</w:t>
      </w:r>
    </w:p>
    <w:p>
      <w:r>
        <w:pict>
          <v:rect style="width:0;height:1.5pt" o:hralign="center" o:hrstd="t" o:hr="t"/>
        </w:pict>
      </w:r>
    </w:p>
    <w:p>
      <w:pPr>
        <w:pStyle w:val="FirstParagraph"/>
      </w:pPr>
      <w:r>
        <w:rPr>
          <w:bCs/>
          <w:b/>
        </w:rPr>
        <w:t xml:space="preserve">Date:</w:t>
      </w:r>
      <w:r>
        <w:t xml:space="preserve"> </w:t>
      </w:r>
      <w:r>
        <w:t xml:space="preserve">March 2026</w:t>
      </w:r>
      <w:r>
        <w:t xml:space="preserve"> </w:t>
      </w:r>
      <w:r>
        <w:rPr>
          <w:bCs/>
          <w:b/>
        </w:rPr>
        <w:t xml:space="preserve">Version:</w:t>
      </w:r>
      <w:r>
        <w:t xml:space="preserve"> </w:t>
      </w:r>
      <w:r>
        <w:t xml:space="preserve">2.0</w:t>
      </w:r>
      <w:r>
        <w:t xml:space="preserve"> </w:t>
      </w:r>
      <w:r>
        <w:rPr>
          <w:bCs/>
          <w:b/>
        </w:rPr>
        <w:t xml:space="preserve">Classification:</w:t>
      </w:r>
      <w:r>
        <w:t xml:space="preserve"> </w:t>
      </w:r>
      <w:r>
        <w:t xml:space="preserve">Confidential — Commercial in Confidence</w:t>
      </w:r>
    </w:p>
    <w:p>
      <w:r>
        <w:pict>
          <v:rect style="width:0;height:1.5pt" o:hralign="center" o:hrstd="t" o:hr="t"/>
        </w:pict>
      </w:r>
    </w:p>
    <w:bookmarkEnd w:id="20"/>
    <w:bookmarkEnd w:id="21"/>
    <w:bookmarkStart w:id="22" w:name="table-of-contents"/>
    <w:p>
      <w:pPr>
        <w:pStyle w:val="Heading2"/>
      </w:pPr>
      <w:r>
        <w:t xml:space="preserve">Table of Contents</w:t>
      </w:r>
    </w:p>
    <w:p>
      <w:pPr>
        <w:numPr>
          <w:ilvl w:val="0"/>
          <w:numId w:val="1001"/>
        </w:numPr>
        <w:pStyle w:val="Compact"/>
      </w:pPr>
      <w:hyperlink w:anchor="X102b2e9de4183984340b81b0bb402a984d3925a">
        <w:r>
          <w:rPr>
            <w:rStyle w:val="Hyperlink"/>
          </w:rPr>
          <w:t xml:space="preserve">Executive Summary</w:t>
        </w:r>
      </w:hyperlink>
    </w:p>
    <w:p>
      <w:pPr>
        <w:numPr>
          <w:ilvl w:val="0"/>
          <w:numId w:val="1001"/>
        </w:numPr>
        <w:pStyle w:val="Compact"/>
      </w:pPr>
      <w:hyperlink w:anchor="X82f8a8c52ba6e6f6a31e405124e9388be944425">
        <w:r>
          <w:rPr>
            <w:rStyle w:val="Hyperlink"/>
          </w:rPr>
          <w:t xml:space="preserve">Company Overview — Connect Underwriting Ltd</w:t>
        </w:r>
      </w:hyperlink>
    </w:p>
    <w:p>
      <w:pPr>
        <w:numPr>
          <w:ilvl w:val="0"/>
          <w:numId w:val="1001"/>
        </w:numPr>
        <w:pStyle w:val="Compact"/>
      </w:pPr>
      <w:hyperlink w:anchor="Xde6a1e0ee06990c56977204385f54ba125ab657">
        <w:r>
          <w:rPr>
            <w:rStyle w:val="Hyperlink"/>
          </w:rPr>
          <w:t xml:space="preserve">Market Opportunity</w:t>
        </w:r>
      </w:hyperlink>
    </w:p>
    <w:p>
      <w:pPr>
        <w:numPr>
          <w:ilvl w:val="0"/>
          <w:numId w:val="1001"/>
        </w:numPr>
        <w:pStyle w:val="Compact"/>
      </w:pPr>
      <w:hyperlink w:anchor="X81a1a025f33004788541fb1ad9f7e058e63c5df">
        <w:r>
          <w:rPr>
            <w:rStyle w:val="Hyperlink"/>
          </w:rPr>
          <w:t xml:space="preserve">Product Strategy — Pure XOL Approach</w:t>
        </w:r>
      </w:hyperlink>
    </w:p>
    <w:p>
      <w:pPr>
        <w:numPr>
          <w:ilvl w:val="0"/>
          <w:numId w:val="1001"/>
        </w:numPr>
        <w:pStyle w:val="Compact"/>
      </w:pPr>
      <w:hyperlink w:anchor="X816336a720c58a3b4928400c1116693cb2a519a">
        <w:r>
          <w:rPr>
            <w:rStyle w:val="Hyperlink"/>
          </w:rPr>
          <w:t xml:space="preserve">Underwriting Philosophy &amp; Risk Selection</w:t>
        </w:r>
      </w:hyperlink>
    </w:p>
    <w:p>
      <w:pPr>
        <w:numPr>
          <w:ilvl w:val="0"/>
          <w:numId w:val="1001"/>
        </w:numPr>
        <w:pStyle w:val="Compact"/>
      </w:pPr>
      <w:hyperlink w:anchor="Xbad94dfeb7aa5f799ca8ae43d5520e80b656111">
        <w:r>
          <w:rPr>
            <w:rStyle w:val="Hyperlink"/>
          </w:rPr>
          <w:t xml:space="preserve">Target Markets &amp; Distribution</w:t>
        </w:r>
      </w:hyperlink>
    </w:p>
    <w:p>
      <w:pPr>
        <w:numPr>
          <w:ilvl w:val="0"/>
          <w:numId w:val="1001"/>
        </w:numPr>
        <w:pStyle w:val="Compact"/>
      </w:pPr>
      <w:hyperlink w:anchor="Xcea33759c504cfad8afd6a65e175340ee0d464b">
        <w:r>
          <w:rPr>
            <w:rStyle w:val="Hyperlink"/>
          </w:rPr>
          <w:t xml:space="preserve">Financial Projections</w:t>
        </w:r>
      </w:hyperlink>
    </w:p>
    <w:p>
      <w:pPr>
        <w:numPr>
          <w:ilvl w:val="0"/>
          <w:numId w:val="1001"/>
        </w:numPr>
        <w:pStyle w:val="Compact"/>
      </w:pPr>
      <w:hyperlink w:anchor="X63ece464974a5247b178e004d331d8a8c4500a4">
        <w:r>
          <w:rPr>
            <w:rStyle w:val="Hyperlink"/>
          </w:rPr>
          <w:t xml:space="preserve">Claims &amp; Loss Experience</w:t>
        </w:r>
      </w:hyperlink>
    </w:p>
    <w:p>
      <w:pPr>
        <w:numPr>
          <w:ilvl w:val="0"/>
          <w:numId w:val="1001"/>
        </w:numPr>
        <w:pStyle w:val="Compact"/>
      </w:pPr>
      <w:hyperlink w:anchor="X9e91c74747fabaa01c478fd1d434e6c570a7371">
        <w:r>
          <w:rPr>
            <w:rStyle w:val="Hyperlink"/>
          </w:rPr>
          <w:t xml:space="preserve">Competitive Advantage</w:t>
        </w:r>
      </w:hyperlink>
    </w:p>
    <w:p>
      <w:pPr>
        <w:numPr>
          <w:ilvl w:val="0"/>
          <w:numId w:val="1001"/>
        </w:numPr>
        <w:pStyle w:val="Compact"/>
      </w:pPr>
      <w:hyperlink w:anchor="X684d3c876780d8325513e5af3fff0a6f6e3972e">
        <w:r>
          <w:rPr>
            <w:rStyle w:val="Hyperlink"/>
          </w:rPr>
          <w:t xml:space="preserve">Governance, Compliance &amp; Controls</w:t>
        </w:r>
      </w:hyperlink>
    </w:p>
    <w:p>
      <w:pPr>
        <w:numPr>
          <w:ilvl w:val="0"/>
          <w:numId w:val="1001"/>
        </w:numPr>
        <w:pStyle w:val="Compact"/>
      </w:pPr>
      <w:hyperlink w:anchor="X261d6f9e0e4ee8186dd98e2029c7ef8cfa788fa">
        <w:r>
          <w:rPr>
            <w:rStyle w:val="Hyperlink"/>
          </w:rPr>
          <w:t xml:space="preserve">Appendices</w:t>
        </w:r>
      </w:hyperlink>
    </w:p>
    <w:p>
      <w:r>
        <w:pict>
          <v:rect style="width:0;height:1.5pt" o:hralign="center" o:hrstd="t" o:hr="t"/>
        </w:pict>
      </w:r>
    </w:p>
    <w:bookmarkEnd w:id="22"/>
    <w:bookmarkStart w:id="24" w:name="executive-summary"/>
    <w:p>
      <w:pPr>
        <w:pStyle w:val="Heading2"/>
      </w:pPr>
      <w:r>
        <w:t xml:space="preserve">1. Executive Summary</w:t>
      </w:r>
    </w:p>
    <w:p>
      <w:pPr>
        <w:pStyle w:val="FirstParagraph"/>
      </w:pPr>
      <w:r>
        <w:t xml:space="preserve">Connect Underwriting Ltd (</w:t>
      </w:r>
      <w:r>
        <w:t xml:space="preserve">“</w:t>
      </w:r>
      <w:r>
        <w:t xml:space="preserve">Connect</w:t>
      </w:r>
      <w:r>
        <w:t xml:space="preserve">”</w:t>
      </w:r>
      <w:r>
        <w:t xml:space="preserve">) presents this updated strategy for the</w:t>
      </w:r>
      <w:r>
        <w:t xml:space="preserve"> </w:t>
      </w:r>
      <w:r>
        <w:rPr>
          <w:bCs/>
          <w:b/>
        </w:rPr>
        <w:t xml:space="preserve">War &amp; Terrorism Excess of Loss (XOL) binder with Canopius Syndicate at Lloyd’s</w:t>
      </w:r>
      <w:r>
        <w:t xml:space="preserve">, writing worldwide business.</w:t>
      </w:r>
    </w:p>
    <w:p>
      <w:pPr>
        <w:pStyle w:val="BodyText"/>
      </w:pPr>
      <w:r>
        <w:t xml:space="preserve">Our proposition is built on a single, disciplined thesis:</w:t>
      </w:r>
      <w:r>
        <w:t xml:space="preserve"> </w:t>
      </w:r>
      <w:r>
        <w:rPr>
          <w:bCs/>
          <w:b/>
        </w:rPr>
        <w:t xml:space="preserve">a pure top-layer XOL strategy insulates the portfolio from the frequency losses, SRCC exposure, and political violence attritional claims that are now devastating primary and lower-layer writers who expanded aggressively during the 2024–2026 soft market.</w:t>
      </w:r>
    </w:p>
    <w:bookmarkStart w:id="23" w:name="the-opportunity-in-brief"/>
    <w:p>
      <w:pPr>
        <w:pStyle w:val="Heading3"/>
      </w:pPr>
      <w:r>
        <w:t xml:space="preserve">The Opportunity in Brief</w:t>
      </w:r>
    </w:p>
    <w:p>
      <w:pPr>
        <w:numPr>
          <w:ilvl w:val="0"/>
          <w:numId w:val="1002"/>
        </w:numPr>
        <w:pStyle w:val="Compact"/>
      </w:pPr>
      <w:r>
        <w:t xml:space="preserve">The War &amp; Terrorism market is experiencing a dramatic reversal. After nearly two years of significant rate softening between 2024 and early 2026, the direct US/Israeli military engagement with Iran since 28 February 2026 has triggered an immediate and severe market correction. Markets that expanded at soft-cycle pricing now face mounting losses of historic proportions — concentrated entirely in primary and lower layers. Capacity is being withdrawn at pace, and rates are surging worldwide.</w:t>
      </w:r>
    </w:p>
    <w:p>
      <w:pPr>
        <w:numPr>
          <w:ilvl w:val="0"/>
          <w:numId w:val="1002"/>
        </w:numPr>
        <w:pStyle w:val="Compact"/>
      </w:pPr>
      <w:r>
        <w:t xml:space="preserve">Primary and lower XOL layers are bearing the brunt of SRCC (Strikes, Riots &amp; Civil Commotion), political violence, and terrorism frequency losses.</w:t>
      </w:r>
      <w:r>
        <w:t xml:space="preserve"> </w:t>
      </w:r>
      <w:r>
        <w:rPr>
          <w:bCs/>
          <w:b/>
        </w:rPr>
        <w:t xml:space="preserve">Top-layer XOL sits above this noise.</w:t>
      </w:r>
    </w:p>
    <w:p>
      <w:pPr>
        <w:numPr>
          <w:ilvl w:val="0"/>
          <w:numId w:val="1002"/>
        </w:numPr>
        <w:pStyle w:val="Compact"/>
      </w:pPr>
      <w:r>
        <w:t xml:space="preserve">By deliberately positioning above primary retentions, Connect will access hardening rates with a fundamentally cleaner risk profile. Middle East risks are included on a prior-submit basis, allowing both parties to selectively capitalise on quality opportunities as and when they arise — particularly post-conflict.</w:t>
      </w:r>
    </w:p>
    <w:p>
      <w:pPr>
        <w:numPr>
          <w:ilvl w:val="0"/>
          <w:numId w:val="1002"/>
        </w:numPr>
        <w:pStyle w:val="Compact"/>
      </w:pPr>
      <w:r>
        <w:rPr>
          <w:bCs/>
          <w:b/>
        </w:rPr>
        <w:t xml:space="preserve">Year 1 GWP target: USD 7.5 million</w:t>
      </w:r>
      <w:r>
        <w:t xml:space="preserve">, growing incrementally over a three-year plan to</w:t>
      </w:r>
      <w:r>
        <w:t xml:space="preserve"> </w:t>
      </w:r>
      <w:r>
        <w:rPr>
          <w:bCs/>
          <w:b/>
        </w:rPr>
        <w:t xml:space="preserve">USD 12–15 million</w:t>
      </w:r>
      <w:r>
        <w:t xml:space="preserve"> </w:t>
      </w:r>
      <w:r>
        <w:t xml:space="preserve">by Year 3, with an expectation of</w:t>
      </w:r>
      <w:r>
        <w:t xml:space="preserve"> </w:t>
      </w:r>
      <w:r>
        <w:rPr>
          <w:bCs/>
          <w:b/>
        </w:rPr>
        <w:t xml:space="preserve">zero to minimal claims activity</w:t>
      </w:r>
      <w:r>
        <w:t xml:space="preserve">.</w:t>
      </w:r>
    </w:p>
    <w:p>
      <w:pPr>
        <w:numPr>
          <w:ilvl w:val="0"/>
          <w:numId w:val="1002"/>
        </w:numPr>
        <w:pStyle w:val="Compact"/>
      </w:pPr>
      <w:r>
        <w:t xml:space="preserve">Connect’s distribution reach — London and worldwide reinsurance brokers, the GBN Worldwide independent broker network across 140 countries, and proprietary fac-on-fac production from our established property and energy book — provides multiple, non-competing channels to deliver and exceed this target.</w:t>
      </w:r>
    </w:p>
    <w:p>
      <w:pPr>
        <w:pStyle w:val="FirstParagraph"/>
      </w:pPr>
      <w:r>
        <w:t xml:space="preserve">This is not speculative. This is a strategy designed to harvest the rate environment while the market reprices risk downward through the layers — and to do so from a position of structural protection.</w:t>
      </w:r>
    </w:p>
    <w:p>
      <w:r>
        <w:pict>
          <v:rect style="width:0;height:1.5pt" o:hralign="center" o:hrstd="t" o:hr="t"/>
        </w:pict>
      </w:r>
    </w:p>
    <w:bookmarkEnd w:id="23"/>
    <w:bookmarkEnd w:id="24"/>
    <w:bookmarkStart w:id="27" w:name="company-overview"/>
    <w:p>
      <w:pPr>
        <w:pStyle w:val="Heading2"/>
      </w:pPr>
      <w:r>
        <w:t xml:space="preserve">2. Company Overview</w:t>
      </w:r>
    </w:p>
    <w:bookmarkStart w:id="25" w:name="connect-underwriting-ltd"/>
    <w:p>
      <w:pPr>
        <w:pStyle w:val="Heading3"/>
      </w:pPr>
      <w:r>
        <w:t xml:space="preserve">Connect Underwriting Ltd</w:t>
      </w:r>
    </w:p>
    <w:p>
      <w:pPr>
        <w:pStyle w:val="FirstParagraph"/>
      </w:pPr>
      <w:r>
        <w:t xml:space="preserve">Connect Underwriting is an established Lloyd’s coverholder and specialist (re)insurance intermediary with deep roots in the London market and a proven track record in property, energy, and specialty lines. The company operates across both direct and facultative reinsurance markets, with an established infrastructure for underwriting, claims management, compliance, and regulatory reporting.</w:t>
      </w:r>
    </w:p>
    <w:p>
      <w:pPr>
        <w:pStyle w:val="BodyText"/>
      </w:pPr>
      <w:r>
        <w:t xml:space="preserve">Connect’s expansion into War &amp; Terrorism XOL is a natural extension of existing capabilities — leveraging the same disciplined underwriting culture, broker relationships, and global distribution network that has driven profitable growth in our core property and energy facultative book.</w:t>
      </w:r>
    </w:p>
    <w:bookmarkEnd w:id="25"/>
    <w:bookmarkStart w:id="26" w:name="why-canopius"/>
    <w:p>
      <w:pPr>
        <w:pStyle w:val="Heading3"/>
      </w:pPr>
      <w:r>
        <w:t xml:space="preserve">Why Canopius?</w:t>
      </w:r>
    </w:p>
    <w:p>
      <w:pPr>
        <w:pStyle w:val="FirstParagraph"/>
      </w:pPr>
      <w:r>
        <w:t xml:space="preserve">Canopius is a natural partner for this facility:</w:t>
      </w:r>
    </w:p>
    <w:p>
      <w:pPr>
        <w:numPr>
          <w:ilvl w:val="0"/>
          <w:numId w:val="1003"/>
        </w:numPr>
        <w:pStyle w:val="Compact"/>
      </w:pPr>
      <w:r>
        <w:t xml:space="preserve">Strong Lloyd’s platform with appetite for specialty delegated authority business</w:t>
      </w:r>
    </w:p>
    <w:p>
      <w:pPr>
        <w:numPr>
          <w:ilvl w:val="0"/>
          <w:numId w:val="1003"/>
        </w:numPr>
        <w:pStyle w:val="Compact"/>
      </w:pPr>
      <w:r>
        <w:t xml:space="preserve">Established track record in political violence and war risk classes</w:t>
      </w:r>
    </w:p>
    <w:p>
      <w:pPr>
        <w:numPr>
          <w:ilvl w:val="0"/>
          <w:numId w:val="1003"/>
        </w:numPr>
        <w:pStyle w:val="Compact"/>
      </w:pPr>
      <w:r>
        <w:t xml:space="preserve">Sophisticated capacity management and portfolio oversight</w:t>
      </w:r>
    </w:p>
    <w:p>
      <w:pPr>
        <w:numPr>
          <w:ilvl w:val="0"/>
          <w:numId w:val="1003"/>
        </w:numPr>
        <w:pStyle w:val="Compact"/>
      </w:pPr>
      <w:r>
        <w:t xml:space="preserve">Alignment with Connect’s disciplined, data-driven underwriting approach</w:t>
      </w:r>
    </w:p>
    <w:p>
      <w:r>
        <w:pict>
          <v:rect style="width:0;height:1.5pt" o:hralign="center" o:hrstd="t" o:hr="t"/>
        </w:pict>
      </w:r>
    </w:p>
    <w:bookmarkEnd w:id="26"/>
    <w:bookmarkEnd w:id="27"/>
    <w:bookmarkStart w:id="31" w:name="market-opportunity"/>
    <w:p>
      <w:pPr>
        <w:pStyle w:val="Heading2"/>
      </w:pPr>
      <w:r>
        <w:t xml:space="preserve">3. Market Opportunity</w:t>
      </w:r>
    </w:p>
    <w:bookmarkStart w:id="28" w:name="market-dislocation-the-catalyst"/>
    <w:p>
      <w:pPr>
        <w:pStyle w:val="Heading3"/>
      </w:pPr>
      <w:r>
        <w:t xml:space="preserve">3.1 Market Dislocation — The Catalyst</w:t>
      </w:r>
    </w:p>
    <w:p>
      <w:pPr>
        <w:pStyle w:val="FirstParagraph"/>
      </w:pPr>
      <w:r>
        <w:t xml:space="preserve">The War &amp; Terrorism insurance market is undergoing a violent correction. Between 2024 and early 2026, the market softened materially — new capacity entered, rates fell, and terms broadened despite the ongoing Russia-Ukraine and Israel-Hamas/Hezbollah conflicts. The escalation into a direct US/Israeli military engagement with Iran on 28 February 2026 has shattered that soft cycle overnight, exposing markets that expanded at inadequate pricing to a loss environment they are wholly unprepared for.</w:t>
      </w:r>
    </w:p>
    <w:p>
      <w:pPr>
        <w:pStyle w:val="BodyText"/>
      </w:pPr>
      <w:r>
        <w:rPr>
          <w:bCs/>
          <w:b/>
        </w:rPr>
        <w:t xml:space="preserve">The US/Israeli–Iran Conflict (28 February 2026–present)</w:t>
      </w:r>
    </w:p>
    <w:p>
      <w:pPr>
        <w:pStyle w:val="BodyText"/>
      </w:pPr>
      <w:r>
        <w:t xml:space="preserve">The direct military confrontation between the United States, Israel, and Iran represents a step-change in the PV market’s loss trajectory. The implications for the insurance market are profound:</w:t>
      </w:r>
    </w:p>
    <w:p>
      <w:pPr>
        <w:numPr>
          <w:ilvl w:val="0"/>
          <w:numId w:val="1004"/>
        </w:numPr>
        <w:pStyle w:val="Compact"/>
      </w:pPr>
      <w:r>
        <w:rPr>
          <w:bCs/>
          <w:b/>
        </w:rPr>
        <w:t xml:space="preserve">Massive insured exposure at risk.</w:t>
      </w:r>
      <w:r>
        <w:t xml:space="preserve"> </w:t>
      </w:r>
      <w:r>
        <w:t xml:space="preserve">Iranian and Gulf-region assets — including energy infrastructure, petrochemical facilities, ports, airports, and commercial property — face direct war damage. The total insured exposure across the Persian Gulf alone is measured in the hundreds of billions of dollars.</w:t>
      </w:r>
    </w:p>
    <w:p>
      <w:pPr>
        <w:numPr>
          <w:ilvl w:val="0"/>
          <w:numId w:val="1004"/>
        </w:numPr>
        <w:pStyle w:val="Compact"/>
      </w:pPr>
      <w:r>
        <w:rPr>
          <w:bCs/>
          <w:b/>
        </w:rPr>
        <w:t xml:space="preserve">Escalation risk across the wider region.</w:t>
      </w:r>
      <w:r>
        <w:t xml:space="preserve"> </w:t>
      </w:r>
      <w:r>
        <w:t xml:space="preserve">The conflict has drawn in proxies across Iraq, Syria, Lebanon, and Yemen, widening the geographic scope of potential loss events and creating uncertainty for insurers writing anywhere in the Middle East and North Africa.</w:t>
      </w:r>
    </w:p>
    <w:p>
      <w:pPr>
        <w:numPr>
          <w:ilvl w:val="0"/>
          <w:numId w:val="1004"/>
        </w:numPr>
        <w:pStyle w:val="Compact"/>
      </w:pPr>
      <w:r>
        <w:rPr>
          <w:bCs/>
          <w:b/>
        </w:rPr>
        <w:t xml:space="preserve">Marine war losses accelerating.</w:t>
      </w:r>
      <w:r>
        <w:t xml:space="preserve"> </w:t>
      </w:r>
      <w:r>
        <w:t xml:space="preserve">Shipping in the Strait of Hormuz, the Persian Gulf, and the Gulf of Oman now faces direct threat from state-level military action — a dramatic escalation from the Houthi-era disruption. Marine war hull and cargo claims are expected to mount rapidly.</w:t>
      </w:r>
    </w:p>
    <w:p>
      <w:pPr>
        <w:numPr>
          <w:ilvl w:val="0"/>
          <w:numId w:val="1004"/>
        </w:numPr>
        <w:pStyle w:val="Compact"/>
      </w:pPr>
      <w:r>
        <w:rPr>
          <w:bCs/>
          <w:b/>
        </w:rPr>
        <w:t xml:space="preserve">Aviation exposure.</w:t>
      </w:r>
      <w:r>
        <w:t xml:space="preserve"> </w:t>
      </w:r>
      <w:r>
        <w:t xml:space="preserve">Airspace closures, stranded aircraft, and the risk of direct damage to aviation assets at airports across the region are generating hull war and war-risk premium surges.</w:t>
      </w:r>
    </w:p>
    <w:p>
      <w:pPr>
        <w:numPr>
          <w:ilvl w:val="0"/>
          <w:numId w:val="1004"/>
        </w:numPr>
        <w:pStyle w:val="Compact"/>
      </w:pPr>
      <w:r>
        <w:rPr>
          <w:bCs/>
          <w:b/>
        </w:rPr>
        <w:t xml:space="preserve">Energy infrastructure.</w:t>
      </w:r>
      <w:r>
        <w:t xml:space="preserve"> </w:t>
      </w:r>
      <w:r>
        <w:t xml:space="preserve">Strikes on oil and gas facilities, refineries, and pipeline infrastructure represent the single largest concentration of insured values in the conflict zone. Any significant hit to Gulf energy infrastructure would generate multi-billion-dollar insured losses.</w:t>
      </w:r>
    </w:p>
    <w:p>
      <w:pPr>
        <w:numPr>
          <w:ilvl w:val="0"/>
          <w:numId w:val="1004"/>
        </w:numPr>
        <w:pStyle w:val="Compact"/>
      </w:pPr>
      <w:r>
        <w:rPr>
          <w:bCs/>
          <w:b/>
        </w:rPr>
        <w:t xml:space="preserve">Mounting losses on primary and lower-layer books.</w:t>
      </w:r>
      <w:r>
        <w:t xml:space="preserve"> </w:t>
      </w:r>
      <w:r>
        <w:t xml:space="preserve">Insurers and reinsurers with primary, proportional, and lower excess exposure to the region are facing actual and anticipated losses that dwarf anything seen since 2001. Reserves are being strengthened, capacity is being withdrawn, and non-renewals are accelerating across all Middle East PV business.</w:t>
      </w:r>
    </w:p>
    <w:p>
      <w:pPr>
        <w:pStyle w:val="FirstParagraph"/>
      </w:pPr>
      <w:r>
        <w:rPr>
          <w:bCs/>
          <w:b/>
        </w:rPr>
        <w:t xml:space="preserve">The net effect: the PV market is entering a loss cycle of historic proportions for primary and lower-layer writers. This makes our XOL strategy — positioned above this loss activity — more compelling than at any point in the last 25 years. Middle East risks are written on a prior-submit basis, ensuring both Connect and Canopius can jointly evaluate and selectively access quality opportunities in the region, particularly as the conflict stabilises and post-war reconstruction demand emerges.</w:t>
      </w:r>
    </w:p>
    <w:p>
      <w:pPr>
        <w:pStyle w:val="BodyText"/>
      </w:pPr>
      <w:r>
        <w:rPr>
          <w:bCs/>
          <w:b/>
        </w:rPr>
        <w:t xml:space="preserve">The Israel-Hamas/Hezbollah Conflict (2023–2026) — Now Subsumed into the Wider War</w:t>
      </w:r>
      <w:r>
        <w:t xml:space="preserve"> </w:t>
      </w:r>
      <w:r>
        <w:t xml:space="preserve">- The original Israel-Hamas/Hezbollah conflict, which began in October 2023, has now been absorbed into the broader US/Israeli–Iran confrontation.</w:t>
      </w:r>
      <w:r>
        <w:t xml:space="preserve"> </w:t>
      </w:r>
      <w:r>
        <w:t xml:space="preserve">- Cumulative insured losses from three years of conflict across Israel, Gaza, Lebanon, and now Iran have severely eroded PV market profitability.</w:t>
      </w:r>
      <w:r>
        <w:t xml:space="preserve"> </w:t>
      </w:r>
      <w:r>
        <w:t xml:space="preserve">- Houthi attacks on commercial shipping in the Red Sea — ongoing since late 2023 — have produced billions in marine war claims, with the situation now worsened by the broader Iran conflict and intensified threats to Gulf shipping lanes.</w:t>
      </w:r>
    </w:p>
    <w:p>
      <w:pPr>
        <w:pStyle w:val="BodyText"/>
      </w:pPr>
      <w:r>
        <w:rPr>
          <w:bCs/>
          <w:b/>
        </w:rPr>
        <w:t xml:space="preserve">Russia-Ukraine War (2022–present)</w:t>
      </w:r>
      <w:r>
        <w:t xml:space="preserve"> </w:t>
      </w:r>
      <w:r>
        <w:t xml:space="preserve">- Continued attritional losses from aviation (stranded fleet), marine (Black Sea), property destruction, and trade credit defaults.</w:t>
      </w:r>
      <w:r>
        <w:t xml:space="preserve"> </w:t>
      </w:r>
      <w:r>
        <w:t xml:space="preserve">- Political risk and credit insurance markets severely impacted.</w:t>
      </w:r>
      <w:r>
        <w:t xml:space="preserve"> </w:t>
      </w:r>
      <w:r>
        <w:t xml:space="preserve">- The Russia-Ukraine war set the stage for the current market dislocation; the US/Israeli–Iran conflict has dramatically accelerated it.</w:t>
      </w:r>
    </w:p>
    <w:p>
      <w:pPr>
        <w:pStyle w:val="BodyText"/>
      </w:pPr>
      <w:r>
        <w:rPr>
          <w:bCs/>
          <w:b/>
        </w:rPr>
        <w:t xml:space="preserve">SRCC &amp; Political Violence Globally</w:t>
      </w:r>
      <w:r>
        <w:t xml:space="preserve"> </w:t>
      </w:r>
      <w:r>
        <w:t xml:space="preserve">- Civil unrest events in South America, Sub-Saharan Africa, and South/Southeast Asia have driven SRCC losses to record levels.</w:t>
      </w:r>
      <w:r>
        <w:t xml:space="preserve"> </w:t>
      </w:r>
      <w:r>
        <w:t xml:space="preserve">- The US/Israeli–Iran war is expected to generate secondary PV events — protests, civil unrest, and politically motivated violence — in countries with large sympathetic populations, further increasing SRCC and PV frequency losses for primary writers.</w:t>
      </w:r>
      <w:r>
        <w:t xml:space="preserve"> </w:t>
      </w:r>
      <w:r>
        <w:t xml:space="preserve">- Insurers writing ground-up or primary PV/SRCC covers are experiencing elevated frequency — the very exposure our XOL strategy avoids.</w:t>
      </w:r>
    </w:p>
    <w:p>
      <w:pPr>
        <w:pStyle w:val="BodyText"/>
      </w:pPr>
      <w:r>
        <w:rPr>
          <w:bCs/>
          <w:b/>
        </w:rPr>
        <w:t xml:space="preserve">Terrorism Threat Environment</w:t>
      </w:r>
      <w:r>
        <w:t xml:space="preserve"> </w:t>
      </w:r>
      <w:r>
        <w:t xml:space="preserve">- The global terrorism threat level has increased materially since the outbreak of the US/Israeli–Iran conflict. Western intelligence agencies have elevated threat assessments across Europe, North America, and Southeast Asia.</w:t>
      </w:r>
      <w:r>
        <w:t xml:space="preserve"> </w:t>
      </w:r>
      <w:r>
        <w:t xml:space="preserve">- However, the nature of insured terrorism losses remains low-frequency, high-severity — exactly the profile that excess layers are designed to absorb. The increased threat environment is driving rate hardening that benefits our XOL position without proportionately increasing our loss exposure at upper attachment points.</w:t>
      </w:r>
    </w:p>
    <w:bookmarkEnd w:id="28"/>
    <w:bookmarkStart w:id="29" w:name="rate-hardening-a-market-in-reversal"/>
    <w:p>
      <w:pPr>
        <w:pStyle w:val="Heading3"/>
      </w:pPr>
      <w:r>
        <w:t xml:space="preserve">3.2 Rate Hardening — A Market in Reversal</w:t>
      </w:r>
    </w:p>
    <w:p>
      <w:pPr>
        <w:pStyle w:val="FirstParagraph"/>
      </w:pPr>
      <w:r>
        <w:t xml:space="preserve">Between 2024 and early 2026, the War &amp; Terrorism and Political Violence market experienced</w:t>
      </w:r>
      <w:r>
        <w:t xml:space="preserve"> </w:t>
      </w:r>
      <w:r>
        <w:rPr>
          <w:bCs/>
          <w:b/>
        </w:rPr>
        <w:t xml:space="preserve">significant rate softening</w:t>
      </w:r>
      <w:r>
        <w:t xml:space="preserve">. Despite the ongoing Russia-Ukraine conflict and the Israel-Hamas/Hezbollah war, an influx of capacity — attracted by prior years’ rate adequacy — drove competitive pressure that eroded pricing across all layers. Rates fell, terms broadened, and underwriting discipline weakened as markets competed for premium.</w:t>
      </w:r>
    </w:p>
    <w:p>
      <w:pPr>
        <w:pStyle w:val="BodyText"/>
      </w:pPr>
      <w:r>
        <w:rPr>
          <w:bCs/>
          <w:b/>
        </w:rPr>
        <w:t xml:space="preserve">That cycle ended abruptly on 28 February 2026.</w:t>
      </w:r>
    </w:p>
    <w:p>
      <w:pPr>
        <w:pStyle w:val="BodyText"/>
      </w:pPr>
      <w:r>
        <w:t xml:space="preserve">The onset of the US/Israeli–Iran war has produced an immediate and dramatic reversal. Rates that had been softening for nearly two years are now surging, particularly on Middle East-exposed business — but the hardening is spreading worldwide as capacity contracts and the market reassesses the true risk profile of the WT/PV class.</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Layer</w:t>
            </w:r>
          </w:p>
        </w:tc>
        <w:tc>
          <w:tcPr/>
          <w:p>
            <w:pPr>
              <w:pStyle w:val="Compact"/>
              <w:jc w:val="left"/>
            </w:pPr>
            <w:r>
              <w:t xml:space="preserve">Rate Movement (2024–Feb 2026)</w:t>
            </w:r>
          </w:p>
        </w:tc>
        <w:tc>
          <w:tcPr/>
          <w:p>
            <w:pPr>
              <w:pStyle w:val="Compact"/>
              <w:jc w:val="left"/>
            </w:pPr>
            <w:r>
              <w:t xml:space="preserve">Post-Iran Conflict (Mar 2026)</w:t>
            </w:r>
          </w:p>
        </w:tc>
        <w:tc>
          <w:tcPr/>
          <w:p>
            <w:pPr>
              <w:pStyle w:val="Compact"/>
              <w:jc w:val="left"/>
            </w:pPr>
            <w:r>
              <w:t xml:space="preserve">Outlook</w:t>
            </w:r>
          </w:p>
        </w:tc>
      </w:tr>
      <w:tr>
        <w:tc>
          <w:tcPr/>
          <w:p>
            <w:pPr>
              <w:pStyle w:val="Compact"/>
              <w:jc w:val="left"/>
            </w:pPr>
            <w:r>
              <w:t xml:space="preserve">Primary / Ground-Up</w:t>
            </w:r>
          </w:p>
        </w:tc>
        <w:tc>
          <w:tcPr/>
          <w:p>
            <w:pPr>
              <w:pStyle w:val="Compact"/>
              <w:jc w:val="left"/>
            </w:pPr>
            <w:r>
              <w:rPr>
                <w:bCs/>
                <w:b/>
              </w:rPr>
              <w:t xml:space="preserve">-15% to -30%</w:t>
            </w:r>
            <w:r>
              <w:t xml:space="preserve"> </w:t>
            </w:r>
            <w:r>
              <w:t xml:space="preserve">(softening)</w:t>
            </w:r>
          </w:p>
        </w:tc>
        <w:tc>
          <w:tcPr/>
          <w:p>
            <w:pPr>
              <w:pStyle w:val="Compact"/>
              <w:jc w:val="left"/>
            </w:pPr>
            <w:r>
              <w:rPr>
                <w:bCs/>
                <w:b/>
              </w:rPr>
              <w:t xml:space="preserve">+80% to +150%</w:t>
            </w:r>
            <w:r>
              <w:t xml:space="preserve"> </w:t>
            </w:r>
            <w:r>
              <w:t xml:space="preserve">(Middle East); +50% to +80% (worldwide)</w:t>
            </w:r>
          </w:p>
        </w:tc>
        <w:tc>
          <w:tcPr/>
          <w:p>
            <w:pPr>
              <w:pStyle w:val="Compact"/>
              <w:jc w:val="left"/>
            </w:pPr>
            <w:r>
              <w:t xml:space="preserve">Severe hardening; capacity withdrawing</w:t>
            </w:r>
          </w:p>
        </w:tc>
      </w:tr>
      <w:tr>
        <w:tc>
          <w:tcPr/>
          <w:p>
            <w:pPr>
              <w:pStyle w:val="Compact"/>
              <w:jc w:val="left"/>
            </w:pPr>
            <w:r>
              <w:t xml:space="preserve">Lower XOL (1st–2nd excess)</w:t>
            </w:r>
          </w:p>
        </w:tc>
        <w:tc>
          <w:tcPr/>
          <w:p>
            <w:pPr>
              <w:pStyle w:val="Compact"/>
              <w:jc w:val="left"/>
            </w:pPr>
            <w:r>
              <w:rPr>
                <w:bCs/>
                <w:b/>
              </w:rPr>
              <w:t xml:space="preserve">-10% to -25%</w:t>
            </w:r>
            <w:r>
              <w:t xml:space="preserve"> </w:t>
            </w:r>
            <w:r>
              <w:t xml:space="preserve">(softening)</w:t>
            </w:r>
          </w:p>
        </w:tc>
        <w:tc>
          <w:tcPr/>
          <w:p>
            <w:pPr>
              <w:pStyle w:val="Compact"/>
              <w:jc w:val="left"/>
            </w:pPr>
            <w:r>
              <w:rPr>
                <w:bCs/>
                <w:b/>
              </w:rPr>
              <w:t xml:space="preserve">+50% to +100%</w:t>
            </w:r>
            <w:r>
              <w:t xml:space="preserve"> </w:t>
            </w:r>
            <w:r>
              <w:t xml:space="preserve">(Middle East); +30% to +50% (worldwide)</w:t>
            </w:r>
          </w:p>
        </w:tc>
        <w:tc>
          <w:tcPr/>
          <w:p>
            <w:pPr>
              <w:pStyle w:val="Compact"/>
              <w:jc w:val="left"/>
            </w:pPr>
            <w:r>
              <w:t xml:space="preserve">Loss-affected; non-renewals</w:t>
            </w:r>
          </w:p>
        </w:tc>
      </w:tr>
      <w:tr>
        <w:tc>
          <w:tcPr/>
          <w:p>
            <w:pPr>
              <w:pStyle w:val="Compact"/>
              <w:jc w:val="left"/>
            </w:pPr>
            <w:r>
              <w:rPr>
                <w:bCs/>
                <w:b/>
              </w:rPr>
              <w:t xml:space="preserve">Upper XOL (3rd excess+)</w:t>
            </w:r>
          </w:p>
        </w:tc>
        <w:tc>
          <w:tcPr/>
          <w:p>
            <w:pPr>
              <w:pStyle w:val="Compact"/>
              <w:jc w:val="left"/>
            </w:pPr>
            <w:r>
              <w:rPr>
                <w:bCs/>
                <w:b/>
              </w:rPr>
              <w:t xml:space="preserve">-10% to -20%</w:t>
            </w:r>
            <w:r>
              <w:t xml:space="preserve"> </w:t>
            </w:r>
            <w:r>
              <w:t xml:space="preserve">(softening)</w:t>
            </w:r>
          </w:p>
        </w:tc>
        <w:tc>
          <w:tcPr/>
          <w:p>
            <w:pPr>
              <w:pStyle w:val="Compact"/>
              <w:jc w:val="left"/>
            </w:pPr>
            <w:r>
              <w:rPr>
                <w:bCs/>
                <w:b/>
              </w:rPr>
              <w:t xml:space="preserve">+25% to +50%</w:t>
            </w:r>
            <w:r>
              <w:t xml:space="preserve"> </w:t>
            </w:r>
            <w:r>
              <w:t xml:space="preserve">(worldwide)</w:t>
            </w:r>
          </w:p>
        </w:tc>
        <w:tc>
          <w:tcPr/>
          <w:p>
            <w:pPr>
              <w:pStyle w:val="Compact"/>
              <w:jc w:val="left"/>
            </w:pPr>
            <w:r>
              <w:rPr>
                <w:bCs/>
                <w:b/>
              </w:rPr>
              <w:t xml:space="preserve">Hardening sharply with clean loss record</w:t>
            </w:r>
          </w:p>
        </w:tc>
      </w:tr>
      <w:tr>
        <w:tc>
          <w:tcPr/>
          <w:p>
            <w:pPr>
              <w:pStyle w:val="Compact"/>
              <w:jc w:val="left"/>
            </w:pPr>
            <w:r>
              <w:t xml:space="preserve">Facultative</w:t>
            </w:r>
          </w:p>
        </w:tc>
        <w:tc>
          <w:tcPr/>
          <w:p>
            <w:pPr>
              <w:pStyle w:val="Compact"/>
              <w:jc w:val="left"/>
            </w:pPr>
            <w:r>
              <w:rPr>
                <w:bCs/>
                <w:b/>
              </w:rPr>
              <w:t xml:space="preserve">-10% to -20%</w:t>
            </w:r>
            <w:r>
              <w:t xml:space="preserve"> </w:t>
            </w:r>
            <w:r>
              <w:t xml:space="preserve">(softening)</w:t>
            </w:r>
          </w:p>
        </w:tc>
        <w:tc>
          <w:tcPr/>
          <w:p>
            <w:pPr>
              <w:pStyle w:val="Compact"/>
              <w:jc w:val="left"/>
            </w:pPr>
            <w:r>
              <w:rPr>
                <w:bCs/>
                <w:b/>
              </w:rPr>
              <w:t xml:space="preserve">+60% to +120%</w:t>
            </w:r>
          </w:p>
        </w:tc>
        <w:tc>
          <w:tcPr/>
          <w:p>
            <w:pPr>
              <w:pStyle w:val="Compact"/>
              <w:jc w:val="left"/>
            </w:pPr>
            <w:r>
              <w:t xml:space="preserve">Extremely tight; case-by-case</w:t>
            </w:r>
          </w:p>
        </w:tc>
      </w:tr>
    </w:tbl>
    <w:p>
      <w:pPr>
        <w:pStyle w:val="BodyText"/>
      </w:pPr>
      <w:r>
        <w:t xml:space="preserve">The critical dynamic is twofold:</w:t>
      </w:r>
    </w:p>
    <w:p>
      <w:pPr>
        <w:numPr>
          <w:ilvl w:val="0"/>
          <w:numId w:val="1005"/>
        </w:numPr>
        <w:pStyle w:val="Compact"/>
      </w:pPr>
      <w:r>
        <w:rPr>
          <w:bCs/>
          <w:b/>
        </w:rPr>
        <w:t xml:space="preserve">Markets that wrote aggressively during the soft cycle are now trapped.</w:t>
      </w:r>
      <w:r>
        <w:t xml:space="preserve"> </w:t>
      </w:r>
      <w:r>
        <w:t xml:space="preserve">They expanded books at inadequate rates and are now facing mounting losses from the Iran conflict on underpriced portfolios. This is forcing rapid capacity withdrawal and distressed non-renewals.</w:t>
      </w:r>
    </w:p>
    <w:p>
      <w:pPr>
        <w:numPr>
          <w:ilvl w:val="0"/>
          <w:numId w:val="1005"/>
        </w:numPr>
        <w:pStyle w:val="Compact"/>
      </w:pPr>
      <w:r>
        <w:rPr>
          <w:bCs/>
          <w:b/>
        </w:rPr>
        <w:t xml:space="preserve">Connect is entering the market at exactly the right moment.</w:t>
      </w:r>
      <w:r>
        <w:t xml:space="preserve"> </w:t>
      </w:r>
      <w:r>
        <w:t xml:space="preserve">We carry none of the legacy soft-market exposure. Every risk we write will be priced at post-Iran hardened rates — the most favourable pricing environment in over two decades. Our XOL layer benefits from rate adequacy</w:t>
      </w:r>
      <w:r>
        <w:t xml:space="preserve"> </w:t>
      </w:r>
      <w:r>
        <w:rPr>
          <w:iCs/>
          <w:i/>
        </w:rPr>
        <w:t xml:space="preserve">without</w:t>
      </w:r>
      <w:r>
        <w:t xml:space="preserve"> </w:t>
      </w:r>
      <w:r>
        <w:t xml:space="preserve">bearing the loss activity that is concentrated in primary and lower excess positions.</w:t>
      </w:r>
    </w:p>
    <w:bookmarkEnd w:id="29"/>
    <w:bookmarkStart w:id="30" w:name="capacity-gap-widening-rapidly"/>
    <w:p>
      <w:pPr>
        <w:pStyle w:val="Heading3"/>
      </w:pPr>
      <w:r>
        <w:t xml:space="preserve">3.3 Capacity Gap — Widening Rapidly</w:t>
      </w:r>
    </w:p>
    <w:p>
      <w:pPr>
        <w:pStyle w:val="FirstParagraph"/>
      </w:pPr>
      <w:r>
        <w:t xml:space="preserve">The capacity gap has</w:t>
      </w:r>
      <w:r>
        <w:t xml:space="preserve"> </w:t>
      </w:r>
      <w:r>
        <w:rPr>
          <w:bCs/>
          <w:b/>
        </w:rPr>
        <w:t xml:space="preserve">blown open</w:t>
      </w:r>
      <w:r>
        <w:t xml:space="preserve"> </w:t>
      </w:r>
      <w:r>
        <w:t xml:space="preserve">since the Iran conflict began — and is made worse by the soft-cycle legacy. Markets that aggressively expanded their PV books between 2024 and early 2026 at softened rates are now doubly exposed: inadequate pricing</w:t>
      </w:r>
      <w:r>
        <w:t xml:space="preserve"> </w:t>
      </w:r>
      <w:r>
        <w:rPr>
          <w:iCs/>
          <w:i/>
        </w:rPr>
        <w:t xml:space="preserve">and</w:t>
      </w:r>
      <w:r>
        <w:t xml:space="preserve"> </w:t>
      </w:r>
      <w:r>
        <w:t xml:space="preserve">escalating losses.</w:t>
      </w:r>
    </w:p>
    <w:p>
      <w:pPr>
        <w:numPr>
          <w:ilvl w:val="0"/>
          <w:numId w:val="1006"/>
        </w:numPr>
        <w:pStyle w:val="Compact"/>
      </w:pPr>
      <w:r>
        <w:t xml:space="preserve">Lloyd’s syndicates with PV exposure to the Middle East are being forced to reserve aggressively, consuming capacity and triggering portfolio-level reductions</w:t>
      </w:r>
    </w:p>
    <w:p>
      <w:pPr>
        <w:numPr>
          <w:ilvl w:val="0"/>
          <w:numId w:val="1006"/>
        </w:numPr>
        <w:pStyle w:val="Compact"/>
      </w:pPr>
      <w:r>
        <w:t xml:space="preserve">Several major markets have issued immediate moratoriums on new Middle East War &amp; Terrorism business</w:t>
      </w:r>
    </w:p>
    <w:p>
      <w:pPr>
        <w:numPr>
          <w:ilvl w:val="0"/>
          <w:numId w:val="1006"/>
        </w:numPr>
        <w:pStyle w:val="Compact"/>
      </w:pPr>
      <w:r>
        <w:t xml:space="preserve">Reinsurance treaty renewals for WT/PV are seeing non-renewals and dramatic capacity reductions — cedants are being forced into the open market for replacement cover</w:t>
      </w:r>
    </w:p>
    <w:p>
      <w:pPr>
        <w:numPr>
          <w:ilvl w:val="0"/>
          <w:numId w:val="1006"/>
        </w:numPr>
        <w:pStyle w:val="Compact"/>
      </w:pPr>
      <w:r>
        <w:t xml:space="preserve">Markets that grew during the soft cycle are now retrenching fastest, creating a supply vacuum</w:t>
      </w:r>
    </w:p>
    <w:p>
      <w:pPr>
        <w:numPr>
          <w:ilvl w:val="0"/>
          <w:numId w:val="1006"/>
        </w:numPr>
        <w:pStyle w:val="Compact"/>
      </w:pPr>
      <w:r>
        <w:t xml:space="preserve">Even markets with no Middle East loss exposure are tightening terms and raising rates worldwide, as the systemic risk to the PV class is reassessed</w:t>
      </w:r>
    </w:p>
    <w:p>
      <w:pPr>
        <w:numPr>
          <w:ilvl w:val="0"/>
          <w:numId w:val="1006"/>
        </w:numPr>
        <w:pStyle w:val="Compact"/>
      </w:pPr>
      <w:r>
        <w:t xml:space="preserve">Lloyd’s performance management is expected to intervene on syndicates with excessive PV exposure, further reducing available capacity</w:t>
      </w:r>
    </w:p>
    <w:p>
      <w:pPr>
        <w:pStyle w:val="FirstParagraph"/>
      </w:pPr>
      <w:r>
        <w:t xml:space="preserve">This contraction creates a</w:t>
      </w:r>
      <w:r>
        <w:t xml:space="preserve"> </w:t>
      </w:r>
      <w:r>
        <w:rPr>
          <w:bCs/>
          <w:b/>
        </w:rPr>
        <w:t xml:space="preserve">structural opportunity for disciplined new capacity</w:t>
      </w:r>
      <w:r>
        <w:t xml:space="preserve"> </w:t>
      </w:r>
      <w:r>
        <w:t xml:space="preserve">— particularly capacity that enters at the right layer with the right risk selection. Connect’s XOL strategy is designed precisely for this moment: to provide capacity where the market needs it most, at a layer that is insulated from the losses driving the dislocation.</w:t>
      </w:r>
    </w:p>
    <w:p>
      <w:r>
        <w:pict>
          <v:rect style="width:0;height:1.5pt" o:hralign="center" o:hrstd="t" o:hr="t"/>
        </w:pict>
      </w:r>
    </w:p>
    <w:bookmarkEnd w:id="30"/>
    <w:bookmarkEnd w:id="31"/>
    <w:bookmarkStart w:id="35" w:name="product-strategy-pure-xol-approach"/>
    <w:p>
      <w:pPr>
        <w:pStyle w:val="Heading2"/>
      </w:pPr>
      <w:r>
        <w:t xml:space="preserve">4. Product Strategy — Pure XOL Approach</w:t>
      </w:r>
    </w:p>
    <w:bookmarkStart w:id="32" w:name="core-thesis"/>
    <w:p>
      <w:pPr>
        <w:pStyle w:val="Heading3"/>
      </w:pPr>
      <w:r>
        <w:t xml:space="preserve">4.1 Core Thesis</w:t>
      </w:r>
    </w:p>
    <w:p>
      <w:pPr>
        <w:pStyle w:val="FirstParagraph"/>
      </w:pPr>
      <w:r>
        <w:rPr>
          <w:bCs/>
          <w:b/>
        </w:rPr>
        <w:t xml:space="preserve">We write top-layer Excess of Loss War &amp; Terrorism only.</w:t>
      </w:r>
    </w:p>
    <w:p>
      <w:pPr>
        <w:pStyle w:val="BodyText"/>
      </w:pPr>
      <w:r>
        <w:t xml:space="preserve">This is not a mixed portfolio. We are not writing primary. We are not writing proportional. We are not writing SRCC. The entire strategy is predicated on maintaining distance from frequency losses and attritional political violence events.</w:t>
      </w:r>
    </w:p>
    <w:bookmarkEnd w:id="32"/>
    <w:bookmarkStart w:id="33" w:name="product-structure"/>
    <w:p>
      <w:pPr>
        <w:pStyle w:val="Heading3"/>
      </w:pPr>
      <w:r>
        <w:t xml:space="preserve">4.2 Product Structure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Specification</w:t>
            </w:r>
          </w:p>
        </w:tc>
      </w:tr>
      <w:tr>
        <w:tc>
          <w:tcPr/>
          <w:p>
            <w:pPr>
              <w:pStyle w:val="Compact"/>
              <w:jc w:val="left"/>
            </w:pPr>
            <w:r>
              <w:rPr>
                <w:bCs/>
                <w:b/>
              </w:rPr>
              <w:t xml:space="preserve">Class</w:t>
            </w:r>
          </w:p>
        </w:tc>
        <w:tc>
          <w:tcPr/>
          <w:p>
            <w:pPr>
              <w:pStyle w:val="Compact"/>
              <w:jc w:val="left"/>
            </w:pPr>
            <w:r>
              <w:t xml:space="preserve">War &amp; Terrorism — Property &amp; Assets</w:t>
            </w:r>
          </w:p>
        </w:tc>
      </w:tr>
      <w:tr>
        <w:tc>
          <w:tcPr/>
          <w:p>
            <w:pPr>
              <w:pStyle w:val="Compact"/>
              <w:jc w:val="left"/>
            </w:pPr>
            <w:r>
              <w:rPr>
                <w:bCs/>
                <w:b/>
              </w:rPr>
              <w:t xml:space="preserve">Structure</w:t>
            </w:r>
          </w:p>
        </w:tc>
        <w:tc>
          <w:tcPr/>
          <w:p>
            <w:pPr>
              <w:pStyle w:val="Compact"/>
              <w:jc w:val="left"/>
            </w:pPr>
            <w:r>
              <w:t xml:space="preserve">Excess of Loss (XOL) — upper layers only</w:t>
            </w:r>
          </w:p>
        </w:tc>
      </w:tr>
      <w:tr>
        <w:tc>
          <w:tcPr/>
          <w:p>
            <w:pPr>
              <w:pStyle w:val="Compact"/>
              <w:jc w:val="left"/>
            </w:pPr>
            <w:r>
              <w:rPr>
                <w:bCs/>
                <w:b/>
              </w:rPr>
              <w:t xml:space="preserve">Attachment</w:t>
            </w:r>
          </w:p>
        </w:tc>
        <w:tc>
          <w:tcPr/>
          <w:p>
            <w:pPr>
              <w:pStyle w:val="Compact"/>
              <w:jc w:val="left"/>
            </w:pPr>
            <w:r>
              <w:t xml:space="preserve">Minimum USD 10M xs USD 10M (typical: USD 25M xs USD 25M and above)</w:t>
            </w:r>
          </w:p>
        </w:tc>
      </w:tr>
      <w:tr>
        <w:tc>
          <w:tcPr/>
          <w:p>
            <w:pPr>
              <w:pStyle w:val="Compact"/>
              <w:jc w:val="left"/>
            </w:pPr>
            <w:r>
              <w:rPr>
                <w:bCs/>
                <w:b/>
              </w:rPr>
              <w:t xml:space="preserve">Limit</w:t>
            </w:r>
          </w:p>
        </w:tc>
        <w:tc>
          <w:tcPr/>
          <w:p>
            <w:pPr>
              <w:pStyle w:val="Compact"/>
              <w:jc w:val="left"/>
            </w:pPr>
            <w:r>
              <w:t xml:space="preserve">Per-occurrence; max USD 50M any one risk</w:t>
            </w:r>
          </w:p>
        </w:tc>
      </w:tr>
      <w:tr>
        <w:tc>
          <w:tcPr/>
          <w:p>
            <w:pPr>
              <w:pStyle w:val="Compact"/>
              <w:jc w:val="left"/>
            </w:pPr>
            <w:r>
              <w:rPr>
                <w:bCs/>
                <w:b/>
              </w:rPr>
              <w:t xml:space="preserve">Territory</w:t>
            </w:r>
          </w:p>
        </w:tc>
        <w:tc>
          <w:tcPr/>
          <w:p>
            <w:pPr>
              <w:pStyle w:val="Compact"/>
              <w:jc w:val="left"/>
            </w:pPr>
            <w:r>
              <w:t xml:space="preserve">Worldwide —</w:t>
            </w:r>
            <w:r>
              <w:t xml:space="preserve"> </w:t>
            </w:r>
            <w:r>
              <w:rPr>
                <w:bCs/>
                <w:b/>
              </w:rPr>
              <w:t xml:space="preserve">Middle East on prior-submit basis</w:t>
            </w:r>
            <w:r>
              <w:t xml:space="preserve"> </w:t>
            </w:r>
            <w:r>
              <w:t xml:space="preserve">(jointly approved by Connect and Canopius)</w:t>
            </w:r>
          </w:p>
        </w:tc>
      </w:tr>
      <w:tr>
        <w:tc>
          <w:tcPr/>
          <w:p>
            <w:pPr>
              <w:pStyle w:val="Compact"/>
              <w:jc w:val="left"/>
            </w:pPr>
            <w:r>
              <w:rPr>
                <w:bCs/>
                <w:b/>
              </w:rPr>
              <w:t xml:space="preserve">Perils Covered</w:t>
            </w:r>
          </w:p>
        </w:tc>
        <w:tc>
          <w:tcPr/>
          <w:p>
            <w:pPr>
              <w:pStyle w:val="Compact"/>
              <w:jc w:val="left"/>
            </w:pPr>
            <w:r>
              <w:t xml:space="preserve">War, Terrorism, Sabotage (as per standard market wordings — LMA5036/LMA5037)</w:t>
            </w:r>
          </w:p>
        </w:tc>
      </w:tr>
      <w:tr>
        <w:tc>
          <w:tcPr/>
          <w:p>
            <w:pPr>
              <w:pStyle w:val="Compact"/>
              <w:jc w:val="left"/>
            </w:pPr>
            <w:r>
              <w:rPr>
                <w:bCs/>
                <w:b/>
              </w:rPr>
              <w:t xml:space="preserve">Perils Excluded</w:t>
            </w:r>
          </w:p>
        </w:tc>
        <w:tc>
          <w:tcPr/>
          <w:p>
            <w:pPr>
              <w:pStyle w:val="Compact"/>
              <w:jc w:val="left"/>
            </w:pPr>
            <w:r>
              <w:t xml:space="preserve">SRCC, Insurrection, Revolution, Rebellion, Mutiny, Coup d’État (standard political violence sub-perils excluded at this layer)</w:t>
            </w:r>
          </w:p>
        </w:tc>
      </w:tr>
      <w:tr>
        <w:tc>
          <w:tcPr/>
          <w:p>
            <w:pPr>
              <w:pStyle w:val="Compact"/>
              <w:jc w:val="left"/>
            </w:pPr>
            <w:r>
              <w:rPr>
                <w:bCs/>
                <w:b/>
              </w:rPr>
              <w:t xml:space="preserve">Policy Form</w:t>
            </w:r>
          </w:p>
        </w:tc>
        <w:tc>
          <w:tcPr/>
          <w:p>
            <w:pPr>
              <w:pStyle w:val="Compact"/>
              <w:jc w:val="left"/>
            </w:pPr>
            <w:r>
              <w:t xml:space="preserve">Lloyd’s standard War &amp; Terrorism wordings</w:t>
            </w:r>
          </w:p>
        </w:tc>
      </w:tr>
      <w:tr>
        <w:tc>
          <w:tcPr/>
          <w:p>
            <w:pPr>
              <w:pStyle w:val="Compact"/>
              <w:jc w:val="left"/>
            </w:pPr>
            <w:r>
              <w:rPr>
                <w:bCs/>
                <w:b/>
              </w:rPr>
              <w:t xml:space="preserve">Duration</w:t>
            </w:r>
          </w:p>
        </w:tc>
        <w:tc>
          <w:tcPr/>
          <w:p>
            <w:pPr>
              <w:pStyle w:val="Compact"/>
              <w:jc w:val="left"/>
            </w:pPr>
            <w:r>
              <w:t xml:space="preserve">Annual policies; 12-month binder renewable</w:t>
            </w:r>
          </w:p>
        </w:tc>
      </w:tr>
    </w:tbl>
    <w:bookmarkEnd w:id="33"/>
    <w:bookmarkStart w:id="34" w:name="why-top-layer-xol"/>
    <w:p>
      <w:pPr>
        <w:pStyle w:val="Heading3"/>
      </w:pPr>
      <w:r>
        <w:t xml:space="preserve">4.3 Why Top-Layer XOL?</w:t>
      </w:r>
    </w:p>
    <w:p>
      <w:pPr>
        <w:pStyle w:val="FirstParagraph"/>
      </w:pPr>
      <w:r>
        <w:t xml:space="preserve">The structural advantages are fundamental:</w:t>
      </w:r>
    </w:p>
    <w:p>
      <w:pPr>
        <w:numPr>
          <w:ilvl w:val="0"/>
          <w:numId w:val="1007"/>
        </w:numPr>
      </w:pPr>
      <w:r>
        <w:rPr>
          <w:bCs/>
          <w:b/>
        </w:rPr>
        <w:t xml:space="preserve">No SRCC exposure.</w:t>
      </w:r>
      <w:r>
        <w:t xml:space="preserve"> </w:t>
      </w:r>
      <w:r>
        <w:t xml:space="preserve">SRCC losses — the single biggest driver of political violence claims frequency — virtually never reach excess layers. Riots, civil commotion, and strikes cause widespread low-to-moderate severity damage. They do not penetrate retentions of USD 10M+.</w:t>
      </w:r>
    </w:p>
    <w:p>
      <w:pPr>
        <w:numPr>
          <w:ilvl w:val="0"/>
          <w:numId w:val="1007"/>
        </w:numPr>
      </w:pPr>
      <w:r>
        <w:rPr>
          <w:bCs/>
          <w:b/>
        </w:rPr>
        <w:t xml:space="preserve">No exposure to most political violence events.</w:t>
      </w:r>
      <w:r>
        <w:t xml:space="preserve"> </w:t>
      </w:r>
      <w:r>
        <w:t xml:space="preserve">Coups, civil disturbances, insurrections, and low-level conflict produce losses that remain within primary layers. Our attachment points sit above the vast majority of PV loss scenarios.</w:t>
      </w:r>
    </w:p>
    <w:p>
      <w:pPr>
        <w:numPr>
          <w:ilvl w:val="0"/>
          <w:numId w:val="1007"/>
        </w:numPr>
      </w:pPr>
      <w:r>
        <w:rPr>
          <w:bCs/>
          <w:b/>
        </w:rPr>
        <w:t xml:space="preserve">Terrorism frequency profile works in our favour.</w:t>
      </w:r>
      <w:r>
        <w:t xml:space="preserve"> </w:t>
      </w:r>
      <w:r>
        <w:t xml:space="preserve">Terrorism is inherently low-frequency. The loss scenarios that reach upper excess layers are catastrophic-scale events (e.g., 9/11-type). These events are exceedingly rare, and the rate environment now prices this remote risk generously.</w:t>
      </w:r>
    </w:p>
    <w:p>
      <w:pPr>
        <w:numPr>
          <w:ilvl w:val="0"/>
          <w:numId w:val="1007"/>
        </w:numPr>
      </w:pPr>
      <w:r>
        <w:rPr>
          <w:bCs/>
          <w:b/>
        </w:rPr>
        <w:t xml:space="preserve">Rate adequacy at the top.</w:t>
      </w:r>
      <w:r>
        <w:t xml:space="preserve"> </w:t>
      </w:r>
      <w:r>
        <w:t xml:space="preserve">The market is hardening across the board. We benefit from improved rates</w:t>
      </w:r>
      <w:r>
        <w:t xml:space="preserve"> </w:t>
      </w:r>
      <w:r>
        <w:rPr>
          <w:iCs/>
          <w:i/>
        </w:rPr>
        <w:t xml:space="preserve">without</w:t>
      </w:r>
      <w:r>
        <w:t xml:space="preserve"> </w:t>
      </w:r>
      <w:r>
        <w:t xml:space="preserve">the corresponding increase in loss activity that lower layers face.</w:t>
      </w:r>
    </w:p>
    <w:p>
      <w:pPr>
        <w:numPr>
          <w:ilvl w:val="0"/>
          <w:numId w:val="1007"/>
        </w:numPr>
      </w:pPr>
      <w:r>
        <w:rPr>
          <w:bCs/>
          <w:b/>
        </w:rPr>
        <w:t xml:space="preserve">Middle East on prior submit — selective, not excluded.</w:t>
      </w:r>
      <w:r>
        <w:t xml:space="preserve"> </w:t>
      </w:r>
      <w:r>
        <w:t xml:space="preserve">Rather than blanket-excluding the region, Middle East risks are submitted to Canopius for joint evaluation and approval. This ensures both parties can capitalise on quality opportunities — particularly high-attachment, well-structured risks on strategic assets — while maintaining full control over exposure. As the conflict stabilises and post-war reconstruction drives demand for WT capacity, this mechanism positions Connect and Canopius to access some of the most attractively priced XOL business in the market.</w:t>
      </w:r>
    </w:p>
    <w:p>
      <w:r>
        <w:pict>
          <v:rect style="width:0;height:1.5pt" o:hralign="center" o:hrstd="t" o:hr="t"/>
        </w:pict>
      </w:r>
    </w:p>
    <w:bookmarkEnd w:id="34"/>
    <w:bookmarkEnd w:id="35"/>
    <w:bookmarkStart w:id="39" w:name="underwriting-philosophy-risk-selection"/>
    <w:p>
      <w:pPr>
        <w:pStyle w:val="Heading2"/>
      </w:pPr>
      <w:r>
        <w:t xml:space="preserve">5. Underwriting Philosophy &amp; Risk Selection</w:t>
      </w:r>
    </w:p>
    <w:bookmarkStart w:id="36" w:name="principles"/>
    <w:p>
      <w:pPr>
        <w:pStyle w:val="Heading3"/>
      </w:pPr>
      <w:r>
        <w:t xml:space="preserve">5.1 Principles</w:t>
      </w:r>
    </w:p>
    <w:p>
      <w:pPr>
        <w:numPr>
          <w:ilvl w:val="0"/>
          <w:numId w:val="1008"/>
        </w:numPr>
        <w:pStyle w:val="Compact"/>
      </w:pPr>
      <w:r>
        <w:rPr>
          <w:bCs/>
          <w:b/>
        </w:rPr>
        <w:t xml:space="preserve">Layer discipline is absolute.</w:t>
      </w:r>
      <w:r>
        <w:t xml:space="preserve"> </w:t>
      </w:r>
      <w:r>
        <w:t xml:space="preserve">We do not write primary, first excess, or any layer that exposes the portfolio to frequency losses. Every risk must meet minimum attachment and retention requirements.</w:t>
      </w:r>
    </w:p>
    <w:p>
      <w:pPr>
        <w:numPr>
          <w:ilvl w:val="0"/>
          <w:numId w:val="1008"/>
        </w:numPr>
        <w:pStyle w:val="Compact"/>
      </w:pPr>
      <w:r>
        <w:rPr>
          <w:bCs/>
          <w:b/>
        </w:rPr>
        <w:t xml:space="preserve">Geographic selectivity.</w:t>
      </w:r>
      <w:r>
        <w:t xml:space="preserve"> </w:t>
      </w:r>
      <w:r>
        <w:t xml:space="preserve">Active conflict zones are excluded or heavily restricted. We underwrite the world</w:t>
      </w:r>
      <w:r>
        <w:t xml:space="preserve"> </w:t>
      </w:r>
      <w:r>
        <w:rPr>
          <w:iCs/>
          <w:i/>
        </w:rPr>
        <w:t xml:space="preserve">outside</w:t>
      </w:r>
      <w:r>
        <w:t xml:space="preserve"> </w:t>
      </w:r>
      <w:r>
        <w:t xml:space="preserve">the war, where the rate environment has hardened in sympathy but the risk profile remains clean.</w:t>
      </w:r>
    </w:p>
    <w:p>
      <w:pPr>
        <w:numPr>
          <w:ilvl w:val="0"/>
          <w:numId w:val="1008"/>
        </w:numPr>
        <w:pStyle w:val="Compact"/>
      </w:pPr>
      <w:r>
        <w:rPr>
          <w:bCs/>
          <w:b/>
        </w:rPr>
        <w:t xml:space="preserve">Cedant quality matters.</w:t>
      </w:r>
      <w:r>
        <w:t xml:space="preserve"> </w:t>
      </w:r>
      <w:r>
        <w:t xml:space="preserve">We underwrite the cedant as much as the risk. Strong primary underwriters with disciplined retentions and proven claims management.</w:t>
      </w:r>
    </w:p>
    <w:p>
      <w:pPr>
        <w:numPr>
          <w:ilvl w:val="0"/>
          <w:numId w:val="1008"/>
        </w:numPr>
        <w:pStyle w:val="Compact"/>
      </w:pPr>
      <w:r>
        <w:rPr>
          <w:bCs/>
          <w:b/>
        </w:rPr>
        <w:t xml:space="preserve">Aggregation control.</w:t>
      </w:r>
      <w:r>
        <w:t xml:space="preserve"> </w:t>
      </w:r>
      <w:r>
        <w:t xml:space="preserve">Maximum per-country, per-region, and per-event aggregates strictly monitored and limited.</w:t>
      </w:r>
    </w:p>
    <w:bookmarkEnd w:id="36"/>
    <w:bookmarkStart w:id="37" w:name="risk-selection-criteria"/>
    <w:p>
      <w:pPr>
        <w:pStyle w:val="Heading3"/>
      </w:pPr>
      <w:r>
        <w:t xml:space="preserve">5.2 Risk Selection Criteria</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Criterion</w:t>
            </w:r>
          </w:p>
        </w:tc>
        <w:tc>
          <w:tcPr/>
          <w:p>
            <w:pPr>
              <w:pStyle w:val="Compact"/>
              <w:jc w:val="left"/>
            </w:pPr>
            <w:r>
              <w:t xml:space="preserve">Minimum Standard</w:t>
            </w:r>
          </w:p>
        </w:tc>
      </w:tr>
      <w:tr>
        <w:tc>
          <w:tcPr/>
          <w:p>
            <w:pPr>
              <w:pStyle w:val="Compact"/>
              <w:jc w:val="left"/>
            </w:pPr>
            <w:r>
              <w:t xml:space="preserve">Cedant rating</w:t>
            </w:r>
          </w:p>
        </w:tc>
        <w:tc>
          <w:tcPr/>
          <w:p>
            <w:pPr>
              <w:pStyle w:val="Compact"/>
              <w:jc w:val="left"/>
            </w:pPr>
            <w:r>
              <w:t xml:space="preserve">A- (S&amp;P/AM Best) or equivalent; Lloyd’s syndicates acceptable</w:t>
            </w:r>
          </w:p>
        </w:tc>
      </w:tr>
      <w:tr>
        <w:tc>
          <w:tcPr/>
          <w:p>
            <w:pPr>
              <w:pStyle w:val="Compact"/>
              <w:jc w:val="left"/>
            </w:pPr>
            <w:r>
              <w:t xml:space="preserve">Underlying retention</w:t>
            </w:r>
          </w:p>
        </w:tc>
        <w:tc>
          <w:tcPr/>
          <w:p>
            <w:pPr>
              <w:pStyle w:val="Compact"/>
              <w:jc w:val="left"/>
            </w:pPr>
            <w:r>
              <w:t xml:space="preserve">USD 10M minimum (preferred USD 25M+)</w:t>
            </w:r>
          </w:p>
        </w:tc>
      </w:tr>
      <w:tr>
        <w:tc>
          <w:tcPr/>
          <w:p>
            <w:pPr>
              <w:pStyle w:val="Compact"/>
              <w:jc w:val="left"/>
            </w:pPr>
            <w:r>
              <w:t xml:space="preserve">Attachment point</w:t>
            </w:r>
          </w:p>
        </w:tc>
        <w:tc>
          <w:tcPr/>
          <w:p>
            <w:pPr>
              <w:pStyle w:val="Compact"/>
              <w:jc w:val="left"/>
            </w:pPr>
            <w:r>
              <w:t xml:space="preserve">USD 10M xs USD 10M minimum</w:t>
            </w:r>
          </w:p>
        </w:tc>
      </w:tr>
      <w:tr>
        <w:tc>
          <w:tcPr/>
          <w:p>
            <w:pPr>
              <w:pStyle w:val="Compact"/>
              <w:jc w:val="left"/>
            </w:pPr>
            <w:r>
              <w:t xml:space="preserve">Territory</w:t>
            </w:r>
          </w:p>
        </w:tc>
        <w:tc>
          <w:tcPr/>
          <w:p>
            <w:pPr>
              <w:pStyle w:val="Compact"/>
              <w:jc w:val="left"/>
            </w:pPr>
            <w:r>
              <w:t xml:space="preserve">Worldwide; Middle East on prior-submit basis</w:t>
            </w:r>
          </w:p>
        </w:tc>
      </w:tr>
      <w:tr>
        <w:tc>
          <w:tcPr/>
          <w:p>
            <w:pPr>
              <w:pStyle w:val="Compact"/>
              <w:jc w:val="left"/>
            </w:pPr>
            <w:r>
              <w:t xml:space="preserve">Asset type</w:t>
            </w:r>
          </w:p>
        </w:tc>
        <w:tc>
          <w:tcPr/>
          <w:p>
            <w:pPr>
              <w:pStyle w:val="Compact"/>
              <w:jc w:val="left"/>
            </w:pPr>
            <w:r>
              <w:t xml:space="preserve">Commercial property, infrastructure, energy (onshore), aviation (hull/war — ground risks), marine (hull war — limited)</w:t>
            </w:r>
          </w:p>
        </w:tc>
      </w:tr>
      <w:tr>
        <w:tc>
          <w:tcPr/>
          <w:p>
            <w:pPr>
              <w:pStyle w:val="Compact"/>
              <w:jc w:val="left"/>
            </w:pPr>
            <w:r>
              <w:t xml:space="preserve">Excluded</w:t>
            </w:r>
          </w:p>
        </w:tc>
        <w:tc>
          <w:tcPr/>
          <w:p>
            <w:pPr>
              <w:pStyle w:val="Compact"/>
              <w:jc w:val="left"/>
            </w:pPr>
            <w:r>
              <w:t xml:space="preserve">Residential aggregations, standalone SRCC, cyber-terrorism, nuclear</w:t>
            </w:r>
          </w:p>
        </w:tc>
      </w:tr>
    </w:tbl>
    <w:bookmarkEnd w:id="37"/>
    <w:bookmarkStart w:id="38" w:name="territorial-strategy"/>
    <w:p>
      <w:pPr>
        <w:pStyle w:val="Heading3"/>
      </w:pPr>
      <w:r>
        <w:t xml:space="preserve">5.3 Territorial Strategy</w:t>
      </w:r>
    </w:p>
    <w:p>
      <w:pPr>
        <w:pStyle w:val="FirstParagraph"/>
      </w:pPr>
      <w:r>
        <w:rPr>
          <w:bCs/>
          <w:b/>
        </w:rPr>
        <w:t xml:space="preserve">Worldwide — Open Territory</w:t>
      </w:r>
      <w:r>
        <w:t xml:space="preserve"> </w:t>
      </w:r>
      <w:r>
        <w:t xml:space="preserve">- All territories underwritten from Day 1: Europe, North America, Asia-Pacific, Latin America, Africa</w:t>
      </w:r>
      <w:r>
        <w:t xml:space="preserve"> </w:t>
      </w:r>
      <w:r>
        <w:t xml:space="preserve">- The global rate hardening means attractive pricing is available worldwide</w:t>
      </w:r>
      <w:r>
        <w:t xml:space="preserve"> </w:t>
      </w:r>
      <w:r>
        <w:t xml:space="preserve">- Core premium volume generated from non-conflict territories where the risk profile is benign at excess attachment points</w:t>
      </w:r>
    </w:p>
    <w:p>
      <w:pPr>
        <w:pStyle w:val="BodyText"/>
      </w:pPr>
      <w:r>
        <w:rPr>
          <w:bCs/>
          <w:b/>
        </w:rPr>
        <w:t xml:space="preserve">Middle East — Prior Submit</w:t>
      </w:r>
      <w:r>
        <w:t xml:space="preserve"> </w:t>
      </w:r>
      <w:r>
        <w:t xml:space="preserve">- All Middle East risks submitted to Canopius for joint review and approval before binding</w:t>
      </w:r>
      <w:r>
        <w:t xml:space="preserve"> </w:t>
      </w:r>
      <w:r>
        <w:t xml:space="preserve">- This mechanism gives both parties full visibility and control while keeping the door open for quality business</w:t>
      </w:r>
      <w:r>
        <w:t xml:space="preserve"> </w:t>
      </w:r>
      <w:r>
        <w:t xml:space="preserve">- Ideal for high-attachment, well-structured XOL on strategic energy, infrastructure, and commercial assets where the rate environment is most favourable</w:t>
      </w:r>
      <w:r>
        <w:t xml:space="preserve"> </w:t>
      </w:r>
      <w:r>
        <w:t xml:space="preserve">- As the US/Israeli–Iran conflict de-escalates, post-conflict reconstruction will generate significant demand for WT capacity at historically attractive rates — prior submit ensures Connect and Canopius are positioned to participate selectively from Day 1</w:t>
      </w:r>
      <w:r>
        <w:t xml:space="preserve"> </w:t>
      </w:r>
      <w:r>
        <w:t xml:space="preserve">- No blanket exclusion means no missed opportunities</w:t>
      </w:r>
    </w:p>
    <w:p>
      <w:r>
        <w:pict>
          <v:rect style="width:0;height:1.5pt" o:hralign="center" o:hrstd="t" o:hr="t"/>
        </w:pict>
      </w:r>
    </w:p>
    <w:bookmarkEnd w:id="38"/>
    <w:bookmarkEnd w:id="39"/>
    <w:bookmarkStart w:id="46" w:name="target-markets-distribution"/>
    <w:p>
      <w:pPr>
        <w:pStyle w:val="Heading2"/>
      </w:pPr>
      <w:r>
        <w:t xml:space="preserve">6. Target Markets &amp; Distribution</w:t>
      </w:r>
    </w:p>
    <w:p>
      <w:pPr>
        <w:pStyle w:val="FirstParagraph"/>
      </w:pPr>
      <w:r>
        <w:t xml:space="preserve">Connect’s distribution capability for this facility is exceptional — and materially differentiates this proposition from a typical start-up binder. We are not building distribution from scratch. We are activating existing channels that already produce significant reinsurance premium across our property and energy facultative book, and extending them into War &amp; Terrorism XOL.</w:t>
      </w:r>
    </w:p>
    <w:bookmarkStart w:id="40" w:name="london-market-reinsurance-brokers"/>
    <w:p>
      <w:pPr>
        <w:pStyle w:val="Heading3"/>
      </w:pPr>
      <w:r>
        <w:t xml:space="preserve">6.1 London Market Reinsurance Brokers</w:t>
      </w:r>
    </w:p>
    <w:p>
      <w:pPr>
        <w:pStyle w:val="FirstParagraph"/>
      </w:pPr>
      <w:r>
        <w:t xml:space="preserve">Connect maintains active trading relationships with the principal London reinsurance broking houses, all of whom place significant volumes of War &amp; Terrorism and Political Violence XOL business into Lloyd’s:</w:t>
      </w:r>
    </w:p>
    <w:p>
      <w:pPr>
        <w:pStyle w:val="BodyText"/>
      </w:pPr>
      <w:r>
        <w:t xml:space="preserve">Connect maintains active trading relationships with the principal London reinsurance broking houses — including multiple top-10 global reinsurance brokers and specialist intermediaries with dedicated War &amp; Terrorism and Political Violence teams placing significant volumes into Lloyd’s and the company market.</w:t>
      </w:r>
    </w:p>
    <w:p>
      <w:pPr>
        <w:pStyle w:val="BodyText"/>
      </w:pPr>
      <w:r>
        <w:t xml:space="preserve">These are not prospective relationships. These brokers already know Connect, already trade with us in adjacent classes, and represent a Day 1 pipeline for WT XOL submissions.</w:t>
      </w:r>
    </w:p>
    <w:bookmarkEnd w:id="40"/>
    <w:bookmarkStart w:id="41" w:name="worldwide-reinsurance-brokers"/>
    <w:p>
      <w:pPr>
        <w:pStyle w:val="Heading3"/>
      </w:pPr>
      <w:r>
        <w:t xml:space="preserve">6.2 Worldwide Reinsurance Brokers</w:t>
      </w:r>
    </w:p>
    <w:p>
      <w:pPr>
        <w:pStyle w:val="FirstParagraph"/>
      </w:pPr>
      <w:r>
        <w:t xml:space="preserve">Beyond London, Connect accesses international reinsurance production through global and regional broking relationships across all major markets:</w:t>
      </w:r>
    </w:p>
    <w:p>
      <w:pPr>
        <w:numPr>
          <w:ilvl w:val="0"/>
          <w:numId w:val="1009"/>
        </w:numPr>
        <w:pStyle w:val="Compact"/>
      </w:pPr>
      <w:r>
        <w:rPr>
          <w:bCs/>
          <w:b/>
        </w:rPr>
        <w:t xml:space="preserve">Continental Europe:</w:t>
      </w:r>
      <w:r>
        <w:t xml:space="preserve"> </w:t>
      </w:r>
      <w:r>
        <w:t xml:space="preserve">Leading reinsurance brokers in Paris, Frankfurt, Zurich, Madrid, Brussels, and Milan — placing XOL for European carriers with WT primary books</w:t>
      </w:r>
    </w:p>
    <w:p>
      <w:pPr>
        <w:numPr>
          <w:ilvl w:val="0"/>
          <w:numId w:val="1009"/>
        </w:numPr>
        <w:pStyle w:val="Compact"/>
      </w:pPr>
      <w:r>
        <w:rPr>
          <w:bCs/>
          <w:b/>
        </w:rPr>
        <w:t xml:space="preserve">Asia-Pacific:</w:t>
      </w:r>
      <w:r>
        <w:t xml:space="preserve"> </w:t>
      </w:r>
      <w:r>
        <w:t xml:space="preserve">Major reinsurance intermediaries in Singapore, Hong Kong, Tokyo, Sydney, and Mumbai — regional insurers and captives seeking WT excess protection</w:t>
      </w:r>
    </w:p>
    <w:p>
      <w:pPr>
        <w:numPr>
          <w:ilvl w:val="0"/>
          <w:numId w:val="1009"/>
        </w:numPr>
        <w:pStyle w:val="Compact"/>
      </w:pPr>
      <w:r>
        <w:rPr>
          <w:bCs/>
          <w:b/>
        </w:rPr>
        <w:t xml:space="preserve">Latin America:</w:t>
      </w:r>
      <w:r>
        <w:t xml:space="preserve"> </w:t>
      </w:r>
      <w:r>
        <w:t xml:space="preserve">Specialist reinsurance brokers in Miami, São Paulo, and Bogotá — energy and infrastructure WT placements</w:t>
      </w:r>
    </w:p>
    <w:p>
      <w:pPr>
        <w:numPr>
          <w:ilvl w:val="0"/>
          <w:numId w:val="1009"/>
        </w:numPr>
        <w:pStyle w:val="Compact"/>
      </w:pPr>
      <w:r>
        <w:rPr>
          <w:bCs/>
          <w:b/>
        </w:rPr>
        <w:t xml:space="preserve">Africa:</w:t>
      </w:r>
      <w:r>
        <w:t xml:space="preserve"> </w:t>
      </w:r>
      <w:r>
        <w:t xml:space="preserve">Reinsurance brokers in Johannesburg and Nairobi — mining, energy, and infrastructure XOL</w:t>
      </w:r>
    </w:p>
    <w:p>
      <w:pPr>
        <w:numPr>
          <w:ilvl w:val="0"/>
          <w:numId w:val="1009"/>
        </w:numPr>
        <w:pStyle w:val="Compact"/>
      </w:pPr>
      <w:r>
        <w:rPr>
          <w:bCs/>
          <w:b/>
        </w:rPr>
        <w:t xml:space="preserve">North America:</w:t>
      </w:r>
      <w:r>
        <w:t xml:space="preserve"> </w:t>
      </w:r>
      <w:r>
        <w:t xml:space="preserve">Major reinsurance brokers across New York, Chicago, and Bermuda — US terrorism pool excess and corporate WT programmes</w:t>
      </w:r>
    </w:p>
    <w:p>
      <w:pPr>
        <w:pStyle w:val="FirstParagraph"/>
      </w:pPr>
      <w:r>
        <w:t xml:space="preserve">This global broker footprint ensures Connect can source WT XOL business from every major insurance market worldwide — not just London.</w:t>
      </w:r>
    </w:p>
    <w:bookmarkEnd w:id="41"/>
    <w:bookmarkStart w:id="42" w:name="X7069c1310162a7d9e8ed8757ec72ff5fc5365a5"/>
    <w:p>
      <w:pPr>
        <w:pStyle w:val="Heading3"/>
      </w:pPr>
      <w:r>
        <w:t xml:space="preserve">6.3 GBN Worldwide — Independent Broker Network in 140 Countries</w:t>
      </w:r>
    </w:p>
    <w:p>
      <w:pPr>
        <w:pStyle w:val="FirstParagraph"/>
      </w:pPr>
      <w:r>
        <w:t xml:space="preserve">Connect is a member of</w:t>
      </w:r>
      <w:r>
        <w:t xml:space="preserve"> </w:t>
      </w:r>
      <w:r>
        <w:rPr>
          <w:bCs/>
          <w:b/>
        </w:rPr>
        <w:t xml:space="preserve">GBN Worldwide</w:t>
      </w:r>
      <w:r>
        <w:t xml:space="preserve">, a global network of independent insurance and reinsurance brokers operating across</w:t>
      </w:r>
      <w:r>
        <w:t xml:space="preserve"> </w:t>
      </w:r>
      <w:r>
        <w:rPr>
          <w:bCs/>
          <w:b/>
        </w:rPr>
        <w:t xml:space="preserve">140 countries</w:t>
      </w:r>
      <w:r>
        <w:t xml:space="preserve">. This network provides:</w:t>
      </w:r>
    </w:p>
    <w:p>
      <w:pPr>
        <w:numPr>
          <w:ilvl w:val="0"/>
          <w:numId w:val="1010"/>
        </w:numPr>
        <w:pStyle w:val="Compact"/>
      </w:pPr>
      <w:r>
        <w:rPr>
          <w:bCs/>
          <w:b/>
        </w:rPr>
        <w:t xml:space="preserve">Direct access to local cedants</w:t>
      </w:r>
      <w:r>
        <w:t xml:space="preserve"> </w:t>
      </w:r>
      <w:r>
        <w:t xml:space="preserve">in markets that London reinsurance brokers may not fully penetrate — mid-tier carriers, regional mutuals, and specialist domestic insurers writing War &amp; Terrorism on a primary basis who require excess protection</w:t>
      </w:r>
    </w:p>
    <w:p>
      <w:pPr>
        <w:numPr>
          <w:ilvl w:val="0"/>
          <w:numId w:val="1010"/>
        </w:numPr>
        <w:pStyle w:val="Compact"/>
      </w:pPr>
      <w:r>
        <w:rPr>
          <w:bCs/>
          <w:b/>
        </w:rPr>
        <w:t xml:space="preserve">Local market intelligence</w:t>
      </w:r>
      <w:r>
        <w:t xml:space="preserve"> </w:t>
      </w:r>
      <w:r>
        <w:t xml:space="preserve">on rate movements, capacity availability, and emerging WT/PV demand across every major geography</w:t>
      </w:r>
    </w:p>
    <w:p>
      <w:pPr>
        <w:numPr>
          <w:ilvl w:val="0"/>
          <w:numId w:val="1010"/>
        </w:numPr>
        <w:pStyle w:val="Compact"/>
      </w:pPr>
      <w:r>
        <w:rPr>
          <w:bCs/>
          <w:b/>
        </w:rPr>
        <w:t xml:space="preserve">Referral pipeline</w:t>
      </w:r>
      <w:r>
        <w:t xml:space="preserve"> </w:t>
      </w:r>
      <w:r>
        <w:t xml:space="preserve">— GBN partners are incentivised to refer reinsurance placements to fellow network members, creating a proprietary source of XOL submissions that does not compete with the London broker channel</w:t>
      </w:r>
    </w:p>
    <w:p>
      <w:pPr>
        <w:numPr>
          <w:ilvl w:val="0"/>
          <w:numId w:val="1010"/>
        </w:numPr>
        <w:pStyle w:val="Compact"/>
      </w:pPr>
      <w:r>
        <w:rPr>
          <w:bCs/>
          <w:b/>
        </w:rPr>
        <w:t xml:space="preserve">Territorial reach</w:t>
      </w:r>
      <w:r>
        <w:t xml:space="preserve"> </w:t>
      </w:r>
      <w:r>
        <w:t xml:space="preserve">that directly supports our worldwide strategy — particularly in underserved markets across Africa, Southeast Asia, Central Asia, and Latin America where local carriers are actively buying WT excess protection as rates harden</w:t>
      </w:r>
    </w:p>
    <w:p>
      <w:pPr>
        <w:pStyle w:val="FirstParagraph"/>
      </w:pPr>
      <w:r>
        <w:t xml:space="preserve">The GBN network is a significant competitive advantage. Most WT XOL capacity providers rely exclusively on London and Bermuda broker channels. Connect’s ability to originate business through 140 countries of independent broker relationships gives Canopius access to a diversified, less competitive pipeline of risks that other Lloyd’s facilities simply cannot reach.</w:t>
      </w:r>
    </w:p>
    <w:bookmarkEnd w:id="42"/>
    <w:bookmarkStart w:id="43" w:name="X9c44be4f5936fd5f918053eae95b00eb16cc014"/>
    <w:p>
      <w:pPr>
        <w:pStyle w:val="Heading3"/>
      </w:pPr>
      <w:r>
        <w:t xml:space="preserve">6.4 Facultative-on-Facultative (Fac-on-Fac) Production</w:t>
      </w:r>
    </w:p>
    <w:p>
      <w:pPr>
        <w:pStyle w:val="FirstParagraph"/>
      </w:pPr>
      <w:r>
        <w:t xml:space="preserve">This is a critical — and often overlooked — source of WT XOL premium.</w:t>
      </w:r>
    </w:p>
    <w:p>
      <w:pPr>
        <w:pStyle w:val="BodyText"/>
      </w:pPr>
      <w:r>
        <w:t xml:space="preserve">Connect has a</w:t>
      </w:r>
      <w:r>
        <w:t xml:space="preserve"> </w:t>
      </w:r>
      <w:r>
        <w:rPr>
          <w:bCs/>
          <w:b/>
        </w:rPr>
        <w:t xml:space="preserve">well-established position in the property and energy facultative reinsurance market</w:t>
      </w:r>
      <w:r>
        <w:t xml:space="preserve">. Our existing fac book generates a substantial flow of large, well-structured industrial, commercial, and energy risks — many of which carry War &amp; Terrorism exposures that require dedicated excess of loss protection.</w:t>
      </w:r>
    </w:p>
    <w:p>
      <w:pPr>
        <w:pStyle w:val="BodyText"/>
      </w:pPr>
      <w:r>
        <w:rPr>
          <w:bCs/>
          <w:b/>
        </w:rPr>
        <w:t xml:space="preserve">The Fac-on-Fac opportunity works as follows:</w:t>
      </w:r>
    </w:p>
    <w:p>
      <w:pPr>
        <w:numPr>
          <w:ilvl w:val="0"/>
          <w:numId w:val="1011"/>
        </w:numPr>
        <w:pStyle w:val="Compact"/>
      </w:pPr>
      <w:r>
        <w:rPr>
          <w:bCs/>
          <w:b/>
        </w:rPr>
        <w:t xml:space="preserve">Primary fac placements</w:t>
      </w:r>
      <w:r>
        <w:t xml:space="preserve"> </w:t>
      </w:r>
      <w:r>
        <w:t xml:space="preserve">— Cedants place large property/energy risks on a facultative basis with London and international markets, including War &amp; Terrorism coverage as a component or standalone peril.</w:t>
      </w:r>
    </w:p>
    <w:p>
      <w:pPr>
        <w:numPr>
          <w:ilvl w:val="0"/>
          <w:numId w:val="1011"/>
        </w:numPr>
        <w:pStyle w:val="Compact"/>
      </w:pPr>
      <w:r>
        <w:rPr>
          <w:bCs/>
          <w:b/>
        </w:rPr>
        <w:t xml:space="preserve">Fac retrocession demand</w:t>
      </w:r>
      <w:r>
        <w:t xml:space="preserve"> </w:t>
      </w:r>
      <w:r>
        <w:t xml:space="preserve">— The markets writing these primary fac placements need to manage their own per-risk WT accumulations. They seek fac XOL protection — i.e., excess of loss cover on individual facultative placements.</w:t>
      </w:r>
    </w:p>
    <w:p>
      <w:pPr>
        <w:numPr>
          <w:ilvl w:val="0"/>
          <w:numId w:val="1011"/>
        </w:numPr>
        <w:pStyle w:val="Compact"/>
      </w:pPr>
      <w:r>
        <w:rPr>
          <w:bCs/>
          <w:b/>
        </w:rPr>
        <w:t xml:space="preserve">Connect’s position</w:t>
      </w:r>
      <w:r>
        <w:t xml:space="preserve"> </w:t>
      </w:r>
      <w:r>
        <w:t xml:space="preserve">— Because we already see and participate in the underlying property/energy fac flow, we have</w:t>
      </w:r>
      <w:r>
        <w:t xml:space="preserve"> </w:t>
      </w:r>
      <w:r>
        <w:rPr>
          <w:bCs/>
          <w:b/>
        </w:rPr>
        <w:t xml:space="preserve">direct visibility of the risks, the exposures, and the cedant quality</w:t>
      </w:r>
      <w:r>
        <w:t xml:space="preserve">. We know which fac placements carry WT exposure, what the retention structures look like, and where excess layers are being sought.</w:t>
      </w:r>
    </w:p>
    <w:p>
      <w:pPr>
        <w:pStyle w:val="FirstParagraph"/>
      </w:pPr>
      <w:r>
        <w:t xml:space="preserve">This creates a virtuous cycle:</w:t>
      </w:r>
    </w:p>
    <w:p>
      <w:pPr>
        <w:numPr>
          <w:ilvl w:val="0"/>
          <w:numId w:val="1012"/>
        </w:numPr>
        <w:pStyle w:val="Compact"/>
      </w:pPr>
      <w:r>
        <w:t xml:space="preserve">Our property/energy fac activity generates</w:t>
      </w:r>
      <w:r>
        <w:t xml:space="preserve"> </w:t>
      </w:r>
      <w:r>
        <w:rPr>
          <w:bCs/>
          <w:b/>
        </w:rPr>
        <w:t xml:space="preserve">proprietary deal flow</w:t>
      </w:r>
      <w:r>
        <w:t xml:space="preserve"> </w:t>
      </w:r>
      <w:r>
        <w:t xml:space="preserve">for the WT XOL binder</w:t>
      </w:r>
    </w:p>
    <w:p>
      <w:pPr>
        <w:numPr>
          <w:ilvl w:val="0"/>
          <w:numId w:val="1012"/>
        </w:numPr>
        <w:pStyle w:val="Compact"/>
      </w:pPr>
      <w:r>
        <w:t xml:space="preserve">We can underwrite WT XOL with</w:t>
      </w:r>
      <w:r>
        <w:t xml:space="preserve"> </w:t>
      </w:r>
      <w:r>
        <w:rPr>
          <w:bCs/>
          <w:b/>
        </w:rPr>
        <w:t xml:space="preserve">superior information</w:t>
      </w:r>
      <w:r>
        <w:t xml:space="preserve"> </w:t>
      </w:r>
      <w:r>
        <w:t xml:space="preserve">— we’ve already assessed the underlying risk on the property/energy side</w:t>
      </w:r>
    </w:p>
    <w:p>
      <w:pPr>
        <w:numPr>
          <w:ilvl w:val="0"/>
          <w:numId w:val="1012"/>
        </w:numPr>
        <w:pStyle w:val="Compact"/>
      </w:pPr>
      <w:r>
        <w:t xml:space="preserve">Cedants and brokers benefit from</w:t>
      </w:r>
      <w:r>
        <w:t xml:space="preserve"> </w:t>
      </w:r>
      <w:r>
        <w:rPr>
          <w:bCs/>
          <w:b/>
        </w:rPr>
        <w:t xml:space="preserve">one-stop capability</w:t>
      </w:r>
      <w:r>
        <w:t xml:space="preserve"> </w:t>
      </w:r>
      <w:r>
        <w:t xml:space="preserve">— property/energy fac and WT XOL from the same underwriting house, with consistent risk appetite and faster turnaround</w:t>
      </w:r>
    </w:p>
    <w:p>
      <w:pPr>
        <w:numPr>
          <w:ilvl w:val="0"/>
          <w:numId w:val="1012"/>
        </w:numPr>
        <w:pStyle w:val="Compact"/>
      </w:pPr>
      <w:r>
        <w:t xml:space="preserve">The fac-on-fac market is</w:t>
      </w:r>
      <w:r>
        <w:t xml:space="preserve"> </w:t>
      </w:r>
      <w:r>
        <w:rPr>
          <w:bCs/>
          <w:b/>
        </w:rPr>
        <w:t xml:space="preserve">less price-sensitive and less competitive</w:t>
      </w:r>
      <w:r>
        <w:t xml:space="preserve"> </w:t>
      </w:r>
      <w:r>
        <w:t xml:space="preserve">than the open treaty XOL market, supporting stronger rate-on-line and better terms</w:t>
      </w:r>
    </w:p>
    <w:p>
      <w:pPr>
        <w:pStyle w:val="FirstParagraph"/>
      </w:pPr>
      <w:r>
        <w:rPr>
          <w:bCs/>
          <w:b/>
        </w:rPr>
        <w:t xml:space="preserve">Estimated Fac-on-Fac contribution to Year 1 GWP: USD 1.5–2.5 million</w:t>
      </w:r>
      <w:r>
        <w:t xml:space="preserve"> </w:t>
      </w:r>
      <w:r>
        <w:t xml:space="preserve">— representing 20–33% of the USD 7.5M target from a proprietary, low-competition source.</w:t>
      </w:r>
    </w:p>
    <w:bookmarkEnd w:id="43"/>
    <w:bookmarkStart w:id="44" w:name="cedant-profile"/>
    <w:p>
      <w:pPr>
        <w:pStyle w:val="Heading3"/>
      </w:pPr>
      <w:r>
        <w:t xml:space="preserve">6.5 Cedant Profile</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Description</w:t>
            </w:r>
          </w:p>
        </w:tc>
        <w:tc>
          <w:tcPr/>
          <w:p>
            <w:pPr>
              <w:pStyle w:val="Compact"/>
              <w:jc w:val="left"/>
            </w:pPr>
            <w:r>
              <w:t xml:space="preserve">Share of Portfolio</w:t>
            </w:r>
          </w:p>
        </w:tc>
      </w:tr>
      <w:tr>
        <w:tc>
          <w:tcPr/>
          <w:p>
            <w:pPr>
              <w:pStyle w:val="Compact"/>
              <w:jc w:val="left"/>
            </w:pPr>
            <w:r>
              <w:t xml:space="preserve">Lloyd’s syndicates</w:t>
            </w:r>
          </w:p>
        </w:tc>
        <w:tc>
          <w:tcPr/>
          <w:p>
            <w:pPr>
              <w:pStyle w:val="Compact"/>
              <w:jc w:val="left"/>
            </w:pPr>
            <w:r>
              <w:t xml:space="preserve">XOL protection for their WT primary books — sourced via London reinsurance brokers</w:t>
            </w:r>
          </w:p>
        </w:tc>
        <w:tc>
          <w:tcPr/>
          <w:p>
            <w:pPr>
              <w:pStyle w:val="Compact"/>
              <w:jc w:val="left"/>
            </w:pPr>
            <w:r>
              <w:t xml:space="preserve">25%</w:t>
            </w:r>
          </w:p>
        </w:tc>
      </w:tr>
      <w:tr>
        <w:tc>
          <w:tcPr/>
          <w:p>
            <w:pPr>
              <w:pStyle w:val="Compact"/>
              <w:jc w:val="left"/>
            </w:pPr>
            <w:r>
              <w:t xml:space="preserve">International insurers</w:t>
            </w:r>
          </w:p>
        </w:tc>
        <w:tc>
          <w:tcPr/>
          <w:p>
            <w:pPr>
              <w:pStyle w:val="Compact"/>
              <w:jc w:val="left"/>
            </w:pPr>
            <w:r>
              <w:t xml:space="preserve">Regional carriers writing WT in Asia, LatAm, Europe, Africa — sourced via worldwide brokers and GBN network</w:t>
            </w:r>
          </w:p>
        </w:tc>
        <w:tc>
          <w:tcPr/>
          <w:p>
            <w:pPr>
              <w:pStyle w:val="Compact"/>
              <w:jc w:val="left"/>
            </w:pPr>
            <w:r>
              <w:t xml:space="preserve">25%</w:t>
            </w:r>
          </w:p>
        </w:tc>
      </w:tr>
      <w:tr>
        <w:tc>
          <w:tcPr/>
          <w:p>
            <w:pPr>
              <w:pStyle w:val="Compact"/>
              <w:jc w:val="left"/>
            </w:pPr>
            <w:r>
              <w:t xml:space="preserve">Fac-on-Fac</w:t>
            </w:r>
          </w:p>
        </w:tc>
        <w:tc>
          <w:tcPr/>
          <w:p>
            <w:pPr>
              <w:pStyle w:val="Compact"/>
              <w:jc w:val="left"/>
            </w:pPr>
            <w:r>
              <w:t xml:space="preserve">WT XOL on property/energy fac placements — sourced via Connect’s existing fac relationships</w:t>
            </w:r>
          </w:p>
        </w:tc>
        <w:tc>
          <w:tcPr/>
          <w:p>
            <w:pPr>
              <w:pStyle w:val="Compact"/>
              <w:jc w:val="left"/>
            </w:pPr>
            <w:r>
              <w:t xml:space="preserve">20%</w:t>
            </w:r>
          </w:p>
        </w:tc>
      </w:tr>
      <w:tr>
        <w:tc>
          <w:tcPr/>
          <w:p>
            <w:pPr>
              <w:pStyle w:val="Compact"/>
              <w:jc w:val="left"/>
            </w:pPr>
            <w:r>
              <w:t xml:space="preserve">Captives &amp; mutuals</w:t>
            </w:r>
          </w:p>
        </w:tc>
        <w:tc>
          <w:tcPr/>
          <w:p>
            <w:pPr>
              <w:pStyle w:val="Compact"/>
              <w:jc w:val="left"/>
            </w:pPr>
            <w:r>
              <w:t xml:space="preserve">Large corporate captives with WT retentions — sourced via GBN and direct relationships</w:t>
            </w:r>
          </w:p>
        </w:tc>
        <w:tc>
          <w:tcPr/>
          <w:p>
            <w:pPr>
              <w:pStyle w:val="Compact"/>
              <w:jc w:val="left"/>
            </w:pPr>
            <w:r>
              <w:t xml:space="preserve">10%</w:t>
            </w:r>
          </w:p>
        </w:tc>
      </w:tr>
      <w:tr>
        <w:tc>
          <w:tcPr/>
          <w:p>
            <w:pPr>
              <w:pStyle w:val="Compact"/>
              <w:jc w:val="left"/>
            </w:pPr>
            <w:r>
              <w:t xml:space="preserve">National pools &amp; schemes</w:t>
            </w:r>
          </w:p>
        </w:tc>
        <w:tc>
          <w:tcPr/>
          <w:p>
            <w:pPr>
              <w:pStyle w:val="Compact"/>
              <w:jc w:val="left"/>
            </w:pPr>
            <w:r>
              <w:t xml:space="preserve">Government-backed terrorism pools seeking excess protection</w:t>
            </w:r>
          </w:p>
        </w:tc>
        <w:tc>
          <w:tcPr/>
          <w:p>
            <w:pPr>
              <w:pStyle w:val="Compact"/>
              <w:jc w:val="left"/>
            </w:pPr>
            <w:r>
              <w:t xml:space="preserve">10%</w:t>
            </w:r>
          </w:p>
        </w:tc>
      </w:tr>
      <w:tr>
        <w:tc>
          <w:tcPr/>
          <w:p>
            <w:pPr>
              <w:pStyle w:val="Compact"/>
              <w:jc w:val="left"/>
            </w:pPr>
            <w:r>
              <w:t xml:space="preserve">Energy &amp; infrastructure</w:t>
            </w:r>
          </w:p>
        </w:tc>
        <w:tc>
          <w:tcPr/>
          <w:p>
            <w:pPr>
              <w:pStyle w:val="Compact"/>
              <w:jc w:val="left"/>
            </w:pPr>
            <w:r>
              <w:t xml:space="preserve">Project-specific WT XOL for major assets — sourced via energy fac brokers</w:t>
            </w:r>
          </w:p>
        </w:tc>
        <w:tc>
          <w:tcPr/>
          <w:p>
            <w:pPr>
              <w:pStyle w:val="Compact"/>
              <w:jc w:val="left"/>
            </w:pPr>
            <w:r>
              <w:t xml:space="preserve">10%</w:t>
            </w:r>
          </w:p>
        </w:tc>
      </w:tr>
    </w:tbl>
    <w:bookmarkEnd w:id="44"/>
    <w:bookmarkStart w:id="45" w:name="business-development-pipeline"/>
    <w:p>
      <w:pPr>
        <w:pStyle w:val="Heading3"/>
      </w:pPr>
      <w:r>
        <w:t xml:space="preserve">6.6 Business Development Pipeline</w:t>
      </w:r>
    </w:p>
    <w:p>
      <w:pPr>
        <w:pStyle w:val="FirstParagraph"/>
      </w:pPr>
      <w:r>
        <w:t xml:space="preserve">Connect has identified and is in active discussion with brokers across all channels representing</w:t>
      </w:r>
      <w:r>
        <w:t xml:space="preserve"> </w:t>
      </w:r>
      <w:r>
        <w:rPr>
          <w:bCs/>
          <w:b/>
        </w:rPr>
        <w:t xml:space="preserve">USD 18–25 million of prospective XOL premium</w:t>
      </w:r>
      <w:r>
        <w:t xml:space="preserve"> </w:t>
      </w:r>
      <w:r>
        <w:t xml:space="preserve">that meets our underwriting criteria:</w:t>
      </w:r>
    </w:p>
    <w:p>
      <w:pPr>
        <w:numPr>
          <w:ilvl w:val="0"/>
          <w:numId w:val="1013"/>
        </w:numPr>
        <w:pStyle w:val="Compact"/>
      </w:pPr>
      <w:r>
        <w:rPr>
          <w:bCs/>
          <w:b/>
        </w:rPr>
        <w:t xml:space="preserve">London reinsurance brokers:</w:t>
      </w:r>
      <w:r>
        <w:t xml:space="preserve"> </w:t>
      </w:r>
      <w:r>
        <w:t xml:space="preserve">USD 8–10M of identified submissions</w:t>
      </w:r>
    </w:p>
    <w:p>
      <w:pPr>
        <w:numPr>
          <w:ilvl w:val="0"/>
          <w:numId w:val="1013"/>
        </w:numPr>
        <w:pStyle w:val="Compact"/>
      </w:pPr>
      <w:r>
        <w:rPr>
          <w:bCs/>
          <w:b/>
        </w:rPr>
        <w:t xml:space="preserve">Worldwide reinsurance brokers:</w:t>
      </w:r>
      <w:r>
        <w:t xml:space="preserve"> </w:t>
      </w:r>
      <w:r>
        <w:t xml:space="preserve">USD 4–6M across Asia-Pacific, Europe, and Latin America</w:t>
      </w:r>
    </w:p>
    <w:p>
      <w:pPr>
        <w:numPr>
          <w:ilvl w:val="0"/>
          <w:numId w:val="1013"/>
        </w:numPr>
        <w:pStyle w:val="Compact"/>
      </w:pPr>
      <w:r>
        <w:rPr>
          <w:bCs/>
          <w:b/>
        </w:rPr>
        <w:t xml:space="preserve">GBN Worldwide network:</w:t>
      </w:r>
      <w:r>
        <w:t xml:space="preserve"> </w:t>
      </w:r>
      <w:r>
        <w:t xml:space="preserve">USD 3–4M of referral pipeline across 30+ countries</w:t>
      </w:r>
    </w:p>
    <w:p>
      <w:pPr>
        <w:numPr>
          <w:ilvl w:val="0"/>
          <w:numId w:val="1013"/>
        </w:numPr>
        <w:pStyle w:val="Compact"/>
      </w:pPr>
      <w:r>
        <w:rPr>
          <w:bCs/>
          <w:b/>
        </w:rPr>
        <w:t xml:space="preserve">Fac-on-Fac (existing property/energy book):</w:t>
      </w:r>
      <w:r>
        <w:t xml:space="preserve"> </w:t>
      </w:r>
      <w:r>
        <w:t xml:space="preserve">USD 3–5M of identified WT XOL requirements</w:t>
      </w:r>
    </w:p>
    <w:p>
      <w:pPr>
        <w:pStyle w:val="FirstParagraph"/>
      </w:pPr>
      <w:r>
        <w:t xml:space="preserve">The USD 7.5M Year 1 target represents a</w:t>
      </w:r>
      <w:r>
        <w:t xml:space="preserve"> </w:t>
      </w:r>
      <w:r>
        <w:rPr>
          <w:bCs/>
          <w:b/>
        </w:rPr>
        <w:t xml:space="preserve">conservative conversion rate of approximately 30–40%</w:t>
      </w:r>
      <w:r>
        <w:t xml:space="preserve"> </w:t>
      </w:r>
      <w:r>
        <w:t xml:space="preserve">against a pipeline of nearly USD 25M — providing significant headroom and downside protection on the premium target.</w:t>
      </w:r>
    </w:p>
    <w:p>
      <w:r>
        <w:pict>
          <v:rect style="width:0;height:1.5pt" o:hralign="center" o:hrstd="t" o:hr="t"/>
        </w:pict>
      </w:r>
    </w:p>
    <w:bookmarkEnd w:id="45"/>
    <w:bookmarkEnd w:id="46"/>
    <w:bookmarkStart w:id="51" w:name="financial-projections"/>
    <w:p>
      <w:pPr>
        <w:pStyle w:val="Heading2"/>
      </w:pPr>
      <w:r>
        <w:t xml:space="preserve">7. Financial Projections</w:t>
      </w:r>
    </w:p>
    <w:bookmarkStart w:id="47" w:name="three-year-premium-plan"/>
    <w:p>
      <w:pPr>
        <w:pStyle w:val="Heading3"/>
      </w:pPr>
      <w:r>
        <w:t xml:space="preserve">7.1 Three-Year Premium Plan</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pPr>
          </w:p>
        </w:tc>
        <w:tc>
          <w:tcPr/>
          <w:p>
            <w:pPr>
              <w:pStyle w:val="Compact"/>
              <w:jc w:val="left"/>
            </w:pPr>
            <w:r>
              <w:t xml:space="preserve">Year 1</w:t>
            </w:r>
          </w:p>
        </w:tc>
        <w:tc>
          <w:tcPr/>
          <w:p>
            <w:pPr>
              <w:pStyle w:val="Compact"/>
              <w:jc w:val="left"/>
            </w:pPr>
            <w:r>
              <w:t xml:space="preserve">Year 2</w:t>
            </w:r>
          </w:p>
        </w:tc>
        <w:tc>
          <w:tcPr/>
          <w:p>
            <w:pPr>
              <w:pStyle w:val="Compact"/>
              <w:jc w:val="left"/>
            </w:pPr>
            <w:r>
              <w:t xml:space="preserve">Year 3</w:t>
            </w:r>
          </w:p>
        </w:tc>
      </w:tr>
      <w:tr>
        <w:tc>
          <w:tcPr/>
          <w:p>
            <w:pPr>
              <w:pStyle w:val="Compact"/>
              <w:jc w:val="left"/>
            </w:pPr>
            <w:r>
              <w:rPr>
                <w:bCs/>
                <w:b/>
              </w:rPr>
              <w:t xml:space="preserve">Gross Written Premium (GWP)</w:t>
            </w:r>
          </w:p>
        </w:tc>
        <w:tc>
          <w:tcPr/>
          <w:p>
            <w:pPr>
              <w:pStyle w:val="Compact"/>
              <w:jc w:val="left"/>
            </w:pPr>
            <w:r>
              <w:t xml:space="preserve">USD 7,500,000</w:t>
            </w:r>
          </w:p>
        </w:tc>
        <w:tc>
          <w:tcPr/>
          <w:p>
            <w:pPr>
              <w:pStyle w:val="Compact"/>
              <w:jc w:val="left"/>
            </w:pPr>
            <w:r>
              <w:t xml:space="preserve">USD 10,000,000</w:t>
            </w:r>
          </w:p>
        </w:tc>
        <w:tc>
          <w:tcPr/>
          <w:p>
            <w:pPr>
              <w:pStyle w:val="Compact"/>
              <w:jc w:val="left"/>
            </w:pPr>
            <w:r>
              <w:t xml:space="preserve">USD 12,500,000</w:t>
            </w:r>
          </w:p>
        </w:tc>
      </w:tr>
      <w:tr>
        <w:tc>
          <w:tcPr/>
          <w:p>
            <w:pPr>
              <w:pStyle w:val="Compact"/>
              <w:jc w:val="left"/>
            </w:pPr>
            <w:r>
              <w:rPr>
                <w:bCs/>
                <w:b/>
              </w:rPr>
              <w:t xml:space="preserve">Net Written Premium</w:t>
            </w:r>
          </w:p>
        </w:tc>
        <w:tc>
          <w:tcPr/>
          <w:p>
            <w:pPr>
              <w:pStyle w:val="Compact"/>
              <w:jc w:val="left"/>
            </w:pPr>
            <w:r>
              <w:t xml:space="preserve">USD 6,375,000</w:t>
            </w:r>
          </w:p>
        </w:tc>
        <w:tc>
          <w:tcPr/>
          <w:p>
            <w:pPr>
              <w:pStyle w:val="Compact"/>
              <w:jc w:val="left"/>
            </w:pPr>
            <w:r>
              <w:t xml:space="preserve">USD 8,500,000</w:t>
            </w:r>
          </w:p>
        </w:tc>
        <w:tc>
          <w:tcPr/>
          <w:p>
            <w:pPr>
              <w:pStyle w:val="Compact"/>
              <w:jc w:val="left"/>
            </w:pPr>
            <w:r>
              <w:t xml:space="preserve">USD 10,625,000</w:t>
            </w:r>
          </w:p>
        </w:tc>
      </w:tr>
      <w:tr>
        <w:tc>
          <w:tcPr/>
          <w:p>
            <w:pPr>
              <w:pStyle w:val="Compact"/>
              <w:jc w:val="left"/>
            </w:pPr>
            <w:r>
              <w:rPr>
                <w:bCs/>
                <w:b/>
              </w:rPr>
              <w:t xml:space="preserve">Reinsurance (RI) Ceded</w:t>
            </w:r>
          </w:p>
        </w:tc>
        <w:tc>
          <w:tcPr/>
          <w:p>
            <w:pPr>
              <w:pStyle w:val="Compact"/>
              <w:jc w:val="left"/>
            </w:pPr>
            <w:r>
              <w:t xml:space="preserve">USD 1,125,000 (15%)</w:t>
            </w:r>
          </w:p>
        </w:tc>
        <w:tc>
          <w:tcPr/>
          <w:p>
            <w:pPr>
              <w:pStyle w:val="Compact"/>
              <w:jc w:val="left"/>
            </w:pPr>
            <w:r>
              <w:t xml:space="preserve">USD 1,500,000 (15%)</w:t>
            </w:r>
          </w:p>
        </w:tc>
        <w:tc>
          <w:tcPr/>
          <w:p>
            <w:pPr>
              <w:pStyle w:val="Compact"/>
              <w:jc w:val="left"/>
            </w:pPr>
            <w:r>
              <w:t xml:space="preserve">USD 1,875,000 (15%)</w:t>
            </w:r>
          </w:p>
        </w:tc>
      </w:tr>
    </w:tbl>
    <w:bookmarkEnd w:id="47"/>
    <w:bookmarkStart w:id="48" w:name="projected-loss-ratios"/>
    <w:p>
      <w:pPr>
        <w:pStyle w:val="Heading3"/>
      </w:pPr>
      <w:r>
        <w:t xml:space="preserve">7.2 Projected Loss Ratios</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pPr>
          </w:p>
        </w:tc>
        <w:tc>
          <w:tcPr/>
          <w:p>
            <w:pPr>
              <w:pStyle w:val="Compact"/>
              <w:jc w:val="left"/>
            </w:pPr>
            <w:r>
              <w:t xml:space="preserve">Year 1</w:t>
            </w:r>
          </w:p>
        </w:tc>
        <w:tc>
          <w:tcPr/>
          <w:p>
            <w:pPr>
              <w:pStyle w:val="Compact"/>
              <w:jc w:val="left"/>
            </w:pPr>
            <w:r>
              <w:t xml:space="preserve">Year 2</w:t>
            </w:r>
          </w:p>
        </w:tc>
        <w:tc>
          <w:tcPr/>
          <w:p>
            <w:pPr>
              <w:pStyle w:val="Compact"/>
              <w:jc w:val="left"/>
            </w:pPr>
            <w:r>
              <w:t xml:space="preserve">Year 3</w:t>
            </w:r>
          </w:p>
        </w:tc>
      </w:tr>
      <w:tr>
        <w:tc>
          <w:tcPr/>
          <w:p>
            <w:pPr>
              <w:pStyle w:val="Compact"/>
              <w:jc w:val="left"/>
            </w:pPr>
            <w:r>
              <w:rPr>
                <w:bCs/>
                <w:b/>
              </w:rPr>
              <w:t xml:space="preserve">Expected Loss Ratio (Net)</w:t>
            </w:r>
          </w:p>
        </w:tc>
        <w:tc>
          <w:tcPr/>
          <w:p>
            <w:pPr>
              <w:pStyle w:val="Compact"/>
              <w:jc w:val="left"/>
            </w:pPr>
            <w:r>
              <w:t xml:space="preserve">0–5%</w:t>
            </w:r>
          </w:p>
        </w:tc>
        <w:tc>
          <w:tcPr/>
          <w:p>
            <w:pPr>
              <w:pStyle w:val="Compact"/>
              <w:jc w:val="left"/>
            </w:pPr>
            <w:r>
              <w:t xml:space="preserve">5–10%</w:t>
            </w:r>
          </w:p>
        </w:tc>
        <w:tc>
          <w:tcPr/>
          <w:p>
            <w:pPr>
              <w:pStyle w:val="Compact"/>
              <w:jc w:val="left"/>
            </w:pPr>
            <w:r>
              <w:t xml:space="preserve">10–15%</w:t>
            </w:r>
          </w:p>
        </w:tc>
      </w:tr>
      <w:tr>
        <w:tc>
          <w:tcPr/>
          <w:p>
            <w:pPr>
              <w:pStyle w:val="Compact"/>
              <w:jc w:val="left"/>
            </w:pPr>
            <w:r>
              <w:rPr>
                <w:bCs/>
                <w:b/>
              </w:rPr>
              <w:t xml:space="preserve">Attritional Losses</w:t>
            </w:r>
          </w:p>
        </w:tc>
        <w:tc>
          <w:tcPr/>
          <w:p>
            <w:pPr>
              <w:pStyle w:val="Compact"/>
              <w:jc w:val="left"/>
            </w:pPr>
            <w:r>
              <w:t xml:space="preserve">Nil</w:t>
            </w:r>
          </w:p>
        </w:tc>
        <w:tc>
          <w:tcPr/>
          <w:p>
            <w:pPr>
              <w:pStyle w:val="Compact"/>
              <w:jc w:val="left"/>
            </w:pPr>
            <w:r>
              <w:t xml:space="preserve">Nil–Minimal</w:t>
            </w:r>
          </w:p>
        </w:tc>
        <w:tc>
          <w:tcPr/>
          <w:p>
            <w:pPr>
              <w:pStyle w:val="Compact"/>
              <w:jc w:val="left"/>
            </w:pPr>
            <w:r>
              <w:t xml:space="preserve">Minimal</w:t>
            </w:r>
          </w:p>
        </w:tc>
      </w:tr>
      <w:tr>
        <w:tc>
          <w:tcPr/>
          <w:p>
            <w:pPr>
              <w:pStyle w:val="Compact"/>
              <w:jc w:val="left"/>
            </w:pPr>
            <w:r>
              <w:rPr>
                <w:bCs/>
                <w:b/>
              </w:rPr>
              <w:t xml:space="preserve">Large Loss Allowance</w:t>
            </w:r>
          </w:p>
        </w:tc>
        <w:tc>
          <w:tcPr/>
          <w:p>
            <w:pPr>
              <w:pStyle w:val="Compact"/>
              <w:jc w:val="left"/>
            </w:pPr>
            <w:r>
              <w:t xml:space="preserve">5% of NWP reserved</w:t>
            </w:r>
          </w:p>
        </w:tc>
        <w:tc>
          <w:tcPr/>
          <w:p>
            <w:pPr>
              <w:pStyle w:val="Compact"/>
              <w:jc w:val="left"/>
            </w:pPr>
            <w:r>
              <w:t xml:space="preserve">10% of NWP reserved</w:t>
            </w:r>
          </w:p>
        </w:tc>
        <w:tc>
          <w:tcPr/>
          <w:p>
            <w:pPr>
              <w:pStyle w:val="Compact"/>
              <w:jc w:val="left"/>
            </w:pPr>
            <w:r>
              <w:t xml:space="preserve">15% of NWP reserved</w:t>
            </w:r>
          </w:p>
        </w:tc>
      </w:tr>
      <w:tr>
        <w:tc>
          <w:tcPr/>
          <w:p>
            <w:pPr>
              <w:pStyle w:val="Compact"/>
              <w:jc w:val="left"/>
            </w:pPr>
            <w:r>
              <w:rPr>
                <w:bCs/>
                <w:b/>
              </w:rPr>
              <w:t xml:space="preserve">IBNR</w:t>
            </w:r>
          </w:p>
        </w:tc>
        <w:tc>
          <w:tcPr/>
          <w:p>
            <w:pPr>
              <w:pStyle w:val="Compact"/>
              <w:jc w:val="left"/>
            </w:pPr>
            <w:r>
              <w:t xml:space="preserve">Conservative IBNR loading from inception</w:t>
            </w:r>
          </w:p>
        </w:tc>
        <w:tc>
          <w:tcPr/>
          <w:p>
            <w:pPr>
              <w:pStyle w:val="Compact"/>
            </w:pPr>
          </w:p>
        </w:tc>
        <w:tc>
          <w:tcPr/>
          <w:p>
            <w:pPr>
              <w:pStyle w:val="Compact"/>
            </w:pPr>
          </w:p>
        </w:tc>
      </w:tr>
    </w:tbl>
    <w:p>
      <w:pPr>
        <w:pStyle w:val="BodyText"/>
      </w:pPr>
      <w:r>
        <w:rPr>
          <w:bCs/>
          <w:b/>
        </w:rPr>
        <w:t xml:space="preserve">Rationale for near-zero losses:</w:t>
      </w:r>
    </w:p>
    <w:p>
      <w:pPr>
        <w:numPr>
          <w:ilvl w:val="0"/>
          <w:numId w:val="1014"/>
        </w:numPr>
        <w:pStyle w:val="Compact"/>
      </w:pPr>
      <w:r>
        <w:t xml:space="preserve">Top-layer XOL has historically produced loss ratios well below 10% in non-catastrophic years</w:t>
      </w:r>
    </w:p>
    <w:p>
      <w:pPr>
        <w:numPr>
          <w:ilvl w:val="0"/>
          <w:numId w:val="1014"/>
        </w:numPr>
        <w:pStyle w:val="Compact"/>
      </w:pPr>
      <w:r>
        <w:t xml:space="preserve">Middle East on prior-submit basis ensures controlled exposure to the dominant conflict zone</w:t>
      </w:r>
    </w:p>
    <w:p>
      <w:pPr>
        <w:numPr>
          <w:ilvl w:val="0"/>
          <w:numId w:val="1014"/>
        </w:numPr>
        <w:pStyle w:val="Compact"/>
      </w:pPr>
      <w:r>
        <w:t xml:space="preserve">No SRCC or PV frequency exposure</w:t>
      </w:r>
    </w:p>
    <w:p>
      <w:pPr>
        <w:numPr>
          <w:ilvl w:val="0"/>
          <w:numId w:val="1014"/>
        </w:numPr>
        <w:pStyle w:val="Compact"/>
      </w:pPr>
      <w:r>
        <w:t xml:space="preserve">Minimum attachment points of USD 10M ensure only catastrophic terrorism or war events breach the layer</w:t>
      </w:r>
    </w:p>
    <w:p>
      <w:pPr>
        <w:numPr>
          <w:ilvl w:val="0"/>
          <w:numId w:val="1014"/>
        </w:numPr>
        <w:pStyle w:val="Compact"/>
      </w:pPr>
      <w:r>
        <w:t xml:space="preserve">Outside the Middle East, there has been</w:t>
      </w:r>
      <w:r>
        <w:t xml:space="preserve"> </w:t>
      </w:r>
      <w:r>
        <w:rPr>
          <w:bCs/>
          <w:b/>
        </w:rPr>
        <w:t xml:space="preserve">no single War &amp; Terrorism XOL loss exceeding USD 10M in the past five years</w:t>
      </w:r>
      <w:r>
        <w:t xml:space="preserve"> </w:t>
      </w:r>
      <w:r>
        <w:t xml:space="preserve">that would have attached within our proposed layer structure</w:t>
      </w:r>
    </w:p>
    <w:bookmarkEnd w:id="48"/>
    <w:bookmarkStart w:id="49" w:name="expense-profitability"/>
    <w:p>
      <w:pPr>
        <w:pStyle w:val="Heading3"/>
      </w:pPr>
      <w:r>
        <w:t xml:space="preserve">7.3 Expense &amp; Profitability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pPr>
          </w:p>
        </w:tc>
        <w:tc>
          <w:tcPr/>
          <w:p>
            <w:pPr>
              <w:pStyle w:val="Compact"/>
              <w:jc w:val="left"/>
            </w:pPr>
            <w:r>
              <w:t xml:space="preserve">Year 1</w:t>
            </w:r>
          </w:p>
        </w:tc>
        <w:tc>
          <w:tcPr/>
          <w:p>
            <w:pPr>
              <w:pStyle w:val="Compact"/>
              <w:jc w:val="left"/>
            </w:pPr>
            <w:r>
              <w:t xml:space="preserve">Year 2</w:t>
            </w:r>
          </w:p>
        </w:tc>
        <w:tc>
          <w:tcPr/>
          <w:p>
            <w:pPr>
              <w:pStyle w:val="Compact"/>
              <w:jc w:val="left"/>
            </w:pPr>
            <w:r>
              <w:t xml:space="preserve">Year 3</w:t>
            </w:r>
          </w:p>
        </w:tc>
      </w:tr>
      <w:tr>
        <w:tc>
          <w:tcPr/>
          <w:p>
            <w:pPr>
              <w:pStyle w:val="Compact"/>
              <w:jc w:val="left"/>
            </w:pPr>
            <w:r>
              <w:rPr>
                <w:bCs/>
                <w:b/>
              </w:rPr>
              <w:t xml:space="preserve">Brokerage</w:t>
            </w:r>
          </w:p>
        </w:tc>
        <w:tc>
          <w:tcPr/>
          <w:p>
            <w:pPr>
              <w:pStyle w:val="Compact"/>
              <w:jc w:val="left"/>
            </w:pPr>
            <w:r>
              <w:t xml:space="preserve">15%</w:t>
            </w:r>
          </w:p>
        </w:tc>
        <w:tc>
          <w:tcPr/>
          <w:p>
            <w:pPr>
              <w:pStyle w:val="Compact"/>
              <w:jc w:val="left"/>
            </w:pPr>
            <w:r>
              <w:t xml:space="preserve">15%</w:t>
            </w:r>
          </w:p>
        </w:tc>
        <w:tc>
          <w:tcPr/>
          <w:p>
            <w:pPr>
              <w:pStyle w:val="Compact"/>
              <w:jc w:val="left"/>
            </w:pPr>
            <w:r>
              <w:t xml:space="preserve">15%</w:t>
            </w:r>
          </w:p>
        </w:tc>
      </w:tr>
      <w:tr>
        <w:tc>
          <w:tcPr/>
          <w:p>
            <w:pPr>
              <w:pStyle w:val="Compact"/>
              <w:jc w:val="left"/>
            </w:pPr>
            <w:r>
              <w:rPr>
                <w:bCs/>
                <w:b/>
              </w:rPr>
              <w:t xml:space="preserve">Commission (Connect)</w:t>
            </w:r>
          </w:p>
        </w:tc>
        <w:tc>
          <w:tcPr/>
          <w:p>
            <w:pPr>
              <w:pStyle w:val="Compact"/>
              <w:jc w:val="left"/>
            </w:pPr>
            <w:r>
              <w:t xml:space="preserve">25%</w:t>
            </w:r>
          </w:p>
        </w:tc>
        <w:tc>
          <w:tcPr/>
          <w:p>
            <w:pPr>
              <w:pStyle w:val="Compact"/>
              <w:jc w:val="left"/>
            </w:pPr>
            <w:r>
              <w:t xml:space="preserve">25%</w:t>
            </w:r>
          </w:p>
        </w:tc>
        <w:tc>
          <w:tcPr/>
          <w:p>
            <w:pPr>
              <w:pStyle w:val="Compact"/>
              <w:jc w:val="left"/>
            </w:pPr>
            <w:r>
              <w:t xml:space="preserve">25%</w:t>
            </w:r>
          </w:p>
        </w:tc>
      </w:tr>
      <w:tr>
        <w:tc>
          <w:tcPr/>
          <w:p>
            <w:pPr>
              <w:pStyle w:val="Compact"/>
              <w:jc w:val="left"/>
            </w:pPr>
            <w:r>
              <w:rPr>
                <w:bCs/>
                <w:b/>
              </w:rPr>
              <w:t xml:space="preserve">Canopius Expenses</w:t>
            </w:r>
          </w:p>
        </w:tc>
        <w:tc>
          <w:tcPr/>
          <w:p>
            <w:pPr>
              <w:pStyle w:val="Compact"/>
              <w:jc w:val="left"/>
            </w:pPr>
            <w:r>
              <w:t xml:space="preserve">5%</w:t>
            </w:r>
          </w:p>
        </w:tc>
        <w:tc>
          <w:tcPr/>
          <w:p>
            <w:pPr>
              <w:pStyle w:val="Compact"/>
              <w:jc w:val="left"/>
            </w:pPr>
            <w:r>
              <w:t xml:space="preserve">5%</w:t>
            </w:r>
          </w:p>
        </w:tc>
        <w:tc>
          <w:tcPr/>
          <w:p>
            <w:pPr>
              <w:pStyle w:val="Compact"/>
              <w:jc w:val="left"/>
            </w:pPr>
            <w:r>
              <w:t xml:space="preserve">5%</w:t>
            </w:r>
          </w:p>
        </w:tc>
      </w:tr>
      <w:tr>
        <w:tc>
          <w:tcPr/>
          <w:p>
            <w:pPr>
              <w:pStyle w:val="Compact"/>
              <w:jc w:val="left"/>
            </w:pPr>
            <w:r>
              <w:rPr>
                <w:bCs/>
                <w:b/>
              </w:rPr>
              <w:t xml:space="preserve">Total Acquisition Cost</w:t>
            </w:r>
          </w:p>
        </w:tc>
        <w:tc>
          <w:tcPr/>
          <w:p>
            <w:pPr>
              <w:pStyle w:val="Compact"/>
              <w:jc w:val="left"/>
            </w:pPr>
            <w:r>
              <w:t xml:space="preserve">45%</w:t>
            </w:r>
          </w:p>
        </w:tc>
        <w:tc>
          <w:tcPr/>
          <w:p>
            <w:pPr>
              <w:pStyle w:val="Compact"/>
              <w:jc w:val="left"/>
            </w:pPr>
            <w:r>
              <w:t xml:space="preserve">45%</w:t>
            </w:r>
          </w:p>
        </w:tc>
        <w:tc>
          <w:tcPr/>
          <w:p>
            <w:pPr>
              <w:pStyle w:val="Compact"/>
              <w:jc w:val="left"/>
            </w:pPr>
            <w:r>
              <w:t xml:space="preserve">45%</w:t>
            </w:r>
          </w:p>
        </w:tc>
      </w:tr>
      <w:tr>
        <w:tc>
          <w:tcPr/>
          <w:p>
            <w:pPr>
              <w:pStyle w:val="Compact"/>
              <w:jc w:val="left"/>
            </w:pPr>
            <w:r>
              <w:rPr>
                <w:bCs/>
                <w:b/>
              </w:rPr>
              <w:t xml:space="preserve">Expected Combined Ratio</w:t>
            </w:r>
          </w:p>
        </w:tc>
        <w:tc>
          <w:tcPr/>
          <w:p>
            <w:pPr>
              <w:pStyle w:val="Compact"/>
              <w:jc w:val="left"/>
            </w:pPr>
            <w:r>
              <w:t xml:space="preserve">45–50%</w:t>
            </w:r>
          </w:p>
        </w:tc>
        <w:tc>
          <w:tcPr/>
          <w:p>
            <w:pPr>
              <w:pStyle w:val="Compact"/>
              <w:jc w:val="left"/>
            </w:pPr>
            <w:r>
              <w:t xml:space="preserve">50–55%</w:t>
            </w:r>
          </w:p>
        </w:tc>
        <w:tc>
          <w:tcPr/>
          <w:p>
            <w:pPr>
              <w:pStyle w:val="Compact"/>
              <w:jc w:val="left"/>
            </w:pPr>
            <w:r>
              <w:t xml:space="preserve">55–60%</w:t>
            </w:r>
          </w:p>
        </w:tc>
      </w:tr>
      <w:tr>
        <w:tc>
          <w:tcPr/>
          <w:p>
            <w:pPr>
              <w:pStyle w:val="Compact"/>
              <w:jc w:val="left"/>
            </w:pPr>
            <w:r>
              <w:rPr>
                <w:bCs/>
                <w:b/>
              </w:rPr>
              <w:t xml:space="preserve">Expected Profit Margin</w:t>
            </w:r>
          </w:p>
        </w:tc>
        <w:tc>
          <w:tcPr/>
          <w:p>
            <w:pPr>
              <w:pStyle w:val="Compact"/>
              <w:jc w:val="left"/>
            </w:pPr>
            <w:r>
              <w:rPr>
                <w:bCs/>
                <w:b/>
              </w:rPr>
              <w:t xml:space="preserve">50–55%</w:t>
            </w:r>
          </w:p>
        </w:tc>
        <w:tc>
          <w:tcPr/>
          <w:p>
            <w:pPr>
              <w:pStyle w:val="Compact"/>
              <w:jc w:val="left"/>
            </w:pPr>
            <w:r>
              <w:rPr>
                <w:bCs/>
                <w:b/>
              </w:rPr>
              <w:t xml:space="preserve">45–50%</w:t>
            </w:r>
          </w:p>
        </w:tc>
        <w:tc>
          <w:tcPr/>
          <w:p>
            <w:pPr>
              <w:pStyle w:val="Compact"/>
              <w:jc w:val="left"/>
            </w:pPr>
            <w:r>
              <w:rPr>
                <w:bCs/>
                <w:b/>
              </w:rPr>
              <w:t xml:space="preserve">40–45%</w:t>
            </w:r>
          </w:p>
        </w:tc>
      </w:tr>
    </w:tbl>
    <w:bookmarkEnd w:id="49"/>
    <w:bookmarkStart w:id="50" w:name="return-on-capacity"/>
    <w:p>
      <w:pPr>
        <w:pStyle w:val="Heading3"/>
      </w:pPr>
      <w:r>
        <w:t xml:space="preserve">7.4 Return on Capacity</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pPr>
          </w:p>
        </w:tc>
        <w:tc>
          <w:tcPr/>
          <w:p>
            <w:pPr>
              <w:pStyle w:val="Compact"/>
              <w:jc w:val="left"/>
            </w:pPr>
            <w:r>
              <w:t xml:space="preserve">Year 1</w:t>
            </w:r>
          </w:p>
        </w:tc>
        <w:tc>
          <w:tcPr/>
          <w:p>
            <w:pPr>
              <w:pStyle w:val="Compact"/>
              <w:jc w:val="left"/>
            </w:pPr>
            <w:r>
              <w:t xml:space="preserve">Year 2</w:t>
            </w:r>
          </w:p>
        </w:tc>
        <w:tc>
          <w:tcPr/>
          <w:p>
            <w:pPr>
              <w:pStyle w:val="Compact"/>
              <w:jc w:val="left"/>
            </w:pPr>
            <w:r>
              <w:t xml:space="preserve">Year 3</w:t>
            </w:r>
          </w:p>
        </w:tc>
      </w:tr>
      <w:tr>
        <w:tc>
          <w:tcPr/>
          <w:p>
            <w:pPr>
              <w:pStyle w:val="Compact"/>
              <w:jc w:val="left"/>
            </w:pPr>
            <w:r>
              <w:rPr>
                <w:bCs/>
                <w:b/>
              </w:rPr>
              <w:t xml:space="preserve">Capacity Required</w:t>
            </w:r>
          </w:p>
        </w:tc>
        <w:tc>
          <w:tcPr/>
          <w:p>
            <w:pPr>
              <w:pStyle w:val="Compact"/>
              <w:jc w:val="left"/>
            </w:pPr>
            <w:r>
              <w:t xml:space="preserve">USD 15,000,000</w:t>
            </w:r>
          </w:p>
        </w:tc>
        <w:tc>
          <w:tcPr/>
          <w:p>
            <w:pPr>
              <w:pStyle w:val="Compact"/>
              <w:jc w:val="left"/>
            </w:pPr>
            <w:r>
              <w:t xml:space="preserve">USD 20,000,000</w:t>
            </w:r>
          </w:p>
        </w:tc>
        <w:tc>
          <w:tcPr/>
          <w:p>
            <w:pPr>
              <w:pStyle w:val="Compact"/>
              <w:jc w:val="left"/>
            </w:pPr>
            <w:r>
              <w:t xml:space="preserve">USD 25,000,000</w:t>
            </w:r>
          </w:p>
        </w:tc>
      </w:tr>
      <w:tr>
        <w:tc>
          <w:tcPr/>
          <w:p>
            <w:pPr>
              <w:pStyle w:val="Compact"/>
              <w:jc w:val="left"/>
            </w:pPr>
            <w:r>
              <w:rPr>
                <w:bCs/>
                <w:b/>
              </w:rPr>
              <w:t xml:space="preserve">Expected Underwriting Profit</w:t>
            </w:r>
          </w:p>
        </w:tc>
        <w:tc>
          <w:tcPr/>
          <w:p>
            <w:pPr>
              <w:pStyle w:val="Compact"/>
              <w:jc w:val="left"/>
            </w:pPr>
            <w:r>
              <w:t xml:space="preserve">USD 3,375,000–3,713,000</w:t>
            </w:r>
          </w:p>
        </w:tc>
        <w:tc>
          <w:tcPr/>
          <w:p>
            <w:pPr>
              <w:pStyle w:val="Compact"/>
              <w:jc w:val="left"/>
            </w:pPr>
            <w:r>
              <w:t xml:space="preserve">USD 3,825,000–4,250,000</w:t>
            </w:r>
          </w:p>
        </w:tc>
        <w:tc>
          <w:tcPr/>
          <w:p>
            <w:pPr>
              <w:pStyle w:val="Compact"/>
              <w:jc w:val="left"/>
            </w:pPr>
            <w:r>
              <w:t xml:space="preserve">USD 4,250,000–4,781,000</w:t>
            </w:r>
          </w:p>
        </w:tc>
      </w:tr>
      <w:tr>
        <w:tc>
          <w:tcPr/>
          <w:p>
            <w:pPr>
              <w:pStyle w:val="Compact"/>
              <w:jc w:val="left"/>
            </w:pPr>
            <w:r>
              <w:rPr>
                <w:bCs/>
                <w:b/>
              </w:rPr>
              <w:t xml:space="preserve">Return on Capacity</w:t>
            </w:r>
          </w:p>
        </w:tc>
        <w:tc>
          <w:tcPr/>
          <w:p>
            <w:pPr>
              <w:pStyle w:val="Compact"/>
              <w:jc w:val="left"/>
            </w:pPr>
            <w:r>
              <w:rPr>
                <w:bCs/>
                <w:b/>
              </w:rPr>
              <w:t xml:space="preserve">22–25%</w:t>
            </w:r>
          </w:p>
        </w:tc>
        <w:tc>
          <w:tcPr/>
          <w:p>
            <w:pPr>
              <w:pStyle w:val="Compact"/>
              <w:jc w:val="left"/>
            </w:pPr>
            <w:r>
              <w:rPr>
                <w:bCs/>
                <w:b/>
              </w:rPr>
              <w:t xml:space="preserve">19–21%</w:t>
            </w:r>
          </w:p>
        </w:tc>
        <w:tc>
          <w:tcPr/>
          <w:p>
            <w:pPr>
              <w:pStyle w:val="Compact"/>
              <w:jc w:val="left"/>
            </w:pPr>
            <w:r>
              <w:rPr>
                <w:bCs/>
                <w:b/>
              </w:rPr>
              <w:t xml:space="preserve">17–19%</w:t>
            </w:r>
          </w:p>
        </w:tc>
      </w:tr>
    </w:tbl>
    <w:p>
      <w:r>
        <w:pict>
          <v:rect style="width:0;height:1.5pt" o:hralign="center" o:hrstd="t" o:hr="t"/>
        </w:pict>
      </w:r>
    </w:p>
    <w:bookmarkEnd w:id="50"/>
    <w:bookmarkEnd w:id="51"/>
    <w:bookmarkStart w:id="55" w:name="claims-loss-experience"/>
    <w:p>
      <w:pPr>
        <w:pStyle w:val="Heading2"/>
      </w:pPr>
      <w:r>
        <w:t xml:space="preserve">8. Claims &amp; Loss Experience</w:t>
      </w:r>
    </w:p>
    <w:bookmarkStart w:id="52" w:name="expected-claims-profile"/>
    <w:p>
      <w:pPr>
        <w:pStyle w:val="Heading3"/>
      </w:pPr>
      <w:r>
        <w:t xml:space="preserve">8.1 Expected Claims Profile</w:t>
      </w:r>
    </w:p>
    <w:p>
      <w:pPr>
        <w:pStyle w:val="FirstParagraph"/>
      </w:pPr>
      <w:r>
        <w:t xml:space="preserve">The fundamental attraction of this strategy is the</w:t>
      </w:r>
      <w:r>
        <w:t xml:space="preserve"> </w:t>
      </w:r>
      <w:r>
        <w:rPr>
          <w:bCs/>
          <w:b/>
        </w:rPr>
        <w:t xml:space="preserve">absence of expected claims activity</w:t>
      </w:r>
      <w:r>
        <w:t xml:space="preserve">.</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Loss Type</w:t>
            </w:r>
          </w:p>
        </w:tc>
        <w:tc>
          <w:tcPr/>
          <w:p>
            <w:pPr>
              <w:pStyle w:val="Compact"/>
              <w:jc w:val="left"/>
            </w:pPr>
            <w:r>
              <w:t xml:space="preserve">Exposure Under Our Strategy</w:t>
            </w:r>
          </w:p>
        </w:tc>
      </w:tr>
      <w:tr>
        <w:tc>
          <w:tcPr/>
          <w:p>
            <w:pPr>
              <w:pStyle w:val="Compact"/>
              <w:jc w:val="left"/>
            </w:pPr>
            <w:r>
              <w:t xml:space="preserve">SRCC (riots, civil commotion, strikes)</w:t>
            </w:r>
          </w:p>
        </w:tc>
        <w:tc>
          <w:tcPr/>
          <w:p>
            <w:pPr>
              <w:pStyle w:val="Compact"/>
              <w:jc w:val="left"/>
            </w:pPr>
            <w:r>
              <w:rPr>
                <w:bCs/>
                <w:b/>
              </w:rPr>
              <w:t xml:space="preserve">None</w:t>
            </w:r>
            <w:r>
              <w:t xml:space="preserve"> </w:t>
            </w:r>
            <w:r>
              <w:t xml:space="preserve">— does not reach XOL layers</w:t>
            </w:r>
          </w:p>
        </w:tc>
      </w:tr>
      <w:tr>
        <w:tc>
          <w:tcPr/>
          <w:p>
            <w:pPr>
              <w:pStyle w:val="Compact"/>
              <w:jc w:val="left"/>
            </w:pPr>
            <w:r>
              <w:t xml:space="preserve">Low-level political violence (coups, insurrections)</w:t>
            </w:r>
          </w:p>
        </w:tc>
        <w:tc>
          <w:tcPr/>
          <w:p>
            <w:pPr>
              <w:pStyle w:val="Compact"/>
              <w:jc w:val="left"/>
            </w:pPr>
            <w:r>
              <w:rPr>
                <w:bCs/>
                <w:b/>
              </w:rPr>
              <w:t xml:space="preserve">None</w:t>
            </w:r>
            <w:r>
              <w:t xml:space="preserve"> </w:t>
            </w:r>
            <w:r>
              <w:t xml:space="preserve">— severity insufficient to breach retentions</w:t>
            </w:r>
          </w:p>
        </w:tc>
      </w:tr>
      <w:tr>
        <w:tc>
          <w:tcPr/>
          <w:p>
            <w:pPr>
              <w:pStyle w:val="Compact"/>
              <w:jc w:val="left"/>
            </w:pPr>
            <w:r>
              <w:t xml:space="preserve">Regional conflict (Middle East, Ukraine)</w:t>
            </w:r>
          </w:p>
        </w:tc>
        <w:tc>
          <w:tcPr/>
          <w:p>
            <w:pPr>
              <w:pStyle w:val="Compact"/>
              <w:jc w:val="left"/>
            </w:pPr>
            <w:r>
              <w:rPr>
                <w:bCs/>
                <w:b/>
              </w:rPr>
              <w:t xml:space="preserve">Controlled</w:t>
            </w:r>
            <w:r>
              <w:t xml:space="preserve"> </w:t>
            </w:r>
            <w:r>
              <w:t xml:space="preserve">— Middle East on prior-submit basis; jointly approved risks only</w:t>
            </w:r>
          </w:p>
        </w:tc>
      </w:tr>
      <w:tr>
        <w:tc>
          <w:tcPr/>
          <w:p>
            <w:pPr>
              <w:pStyle w:val="Compact"/>
              <w:jc w:val="left"/>
            </w:pPr>
            <w:r>
              <w:t xml:space="preserve">Terrorism — small/medium scale</w:t>
            </w:r>
          </w:p>
        </w:tc>
        <w:tc>
          <w:tcPr/>
          <w:p>
            <w:pPr>
              <w:pStyle w:val="Compact"/>
              <w:jc w:val="left"/>
            </w:pPr>
            <w:r>
              <w:rPr>
                <w:bCs/>
                <w:b/>
              </w:rPr>
              <w:t xml:space="preserve">None</w:t>
            </w:r>
            <w:r>
              <w:t xml:space="preserve"> </w:t>
            </w:r>
            <w:r>
              <w:t xml:space="preserve">— loss quantum below attachment</w:t>
            </w:r>
          </w:p>
        </w:tc>
      </w:tr>
      <w:tr>
        <w:tc>
          <w:tcPr/>
          <w:p>
            <w:pPr>
              <w:pStyle w:val="Compact"/>
              <w:jc w:val="left"/>
            </w:pPr>
            <w:r>
              <w:t xml:space="preserve">Terrorism — catastrophic (9/11-scale)</w:t>
            </w:r>
          </w:p>
        </w:tc>
        <w:tc>
          <w:tcPr/>
          <w:p>
            <w:pPr>
              <w:pStyle w:val="Compact"/>
              <w:jc w:val="left"/>
            </w:pPr>
            <w:r>
              <w:rPr>
                <w:bCs/>
                <w:b/>
              </w:rPr>
              <w:t xml:space="preserve">Exposed</w:t>
            </w:r>
            <w:r>
              <w:t xml:space="preserve"> </w:t>
            </w:r>
            <w:r>
              <w:t xml:space="preserve">— but extraordinarily rare; priced into rate</w:t>
            </w:r>
          </w:p>
        </w:tc>
      </w:tr>
      <w:tr>
        <w:tc>
          <w:tcPr/>
          <w:p>
            <w:pPr>
              <w:pStyle w:val="Compact"/>
              <w:jc w:val="left"/>
            </w:pPr>
            <w:r>
              <w:t xml:space="preserve">Full-scale war involving Western assets</w:t>
            </w:r>
          </w:p>
        </w:tc>
        <w:tc>
          <w:tcPr/>
          <w:p>
            <w:pPr>
              <w:pStyle w:val="Compact"/>
              <w:jc w:val="left"/>
            </w:pPr>
            <w:r>
              <w:rPr>
                <w:bCs/>
                <w:b/>
              </w:rPr>
              <w:t xml:space="preserve">Theoretical</w:t>
            </w:r>
            <w:r>
              <w:t xml:space="preserve"> </w:t>
            </w:r>
            <w:r>
              <w:t xml:space="preserve">— tail risk; modelled but not expected</w:t>
            </w:r>
          </w:p>
        </w:tc>
      </w:tr>
    </w:tbl>
    <w:bookmarkEnd w:id="52"/>
    <w:bookmarkStart w:id="53" w:name="historical-loss-analysis-top-layer-xol"/>
    <w:p>
      <w:pPr>
        <w:pStyle w:val="Heading3"/>
      </w:pPr>
      <w:r>
        <w:t xml:space="preserve">8.2 Historical Loss Analysis — Top-Layer XOL</w:t>
      </w:r>
    </w:p>
    <w:p>
      <w:pPr>
        <w:pStyle w:val="FirstParagraph"/>
      </w:pPr>
      <w:r>
        <w:t xml:space="preserve">An analysis of the Lloyd’s War &amp; Terrorism market over the past 20 years demonstrates that</w:t>
      </w:r>
      <w:r>
        <w:t xml:space="preserve"> </w:t>
      </w:r>
      <w:r>
        <w:rPr>
          <w:bCs/>
          <w:b/>
        </w:rPr>
        <w:t xml:space="preserve">losses reaching layers above USD 10M xs USD 10M are concentrated in:</w:t>
      </w:r>
    </w:p>
    <w:p>
      <w:pPr>
        <w:numPr>
          <w:ilvl w:val="0"/>
          <w:numId w:val="1015"/>
        </w:numPr>
        <w:pStyle w:val="Compact"/>
      </w:pPr>
      <w:r>
        <w:rPr>
          <w:bCs/>
          <w:b/>
        </w:rPr>
        <w:t xml:space="preserve">Aviation hull war</w:t>
      </w:r>
      <w:r>
        <w:t xml:space="preserve"> </w:t>
      </w:r>
      <w:r>
        <w:t xml:space="preserve">(9/11, Russia-Ukraine stranded fleet) — manageable through exclusion/sub-limit</w:t>
      </w:r>
    </w:p>
    <w:p>
      <w:pPr>
        <w:numPr>
          <w:ilvl w:val="0"/>
          <w:numId w:val="1015"/>
        </w:numPr>
        <w:pStyle w:val="Compact"/>
      </w:pPr>
      <w:r>
        <w:rPr>
          <w:bCs/>
          <w:b/>
        </w:rPr>
        <w:t xml:space="preserve">Marine war</w:t>
      </w:r>
      <w:r>
        <w:t xml:space="preserve"> </w:t>
      </w:r>
      <w:r>
        <w:t xml:space="preserve">(Red Sea/Houthi) — manageable through territorial exclusion</w:t>
      </w:r>
    </w:p>
    <w:p>
      <w:pPr>
        <w:numPr>
          <w:ilvl w:val="0"/>
          <w:numId w:val="1015"/>
        </w:numPr>
        <w:pStyle w:val="Compact"/>
      </w:pPr>
      <w:r>
        <w:rPr>
          <w:bCs/>
          <w:b/>
        </w:rPr>
        <w:t xml:space="preserve">Large-scale terrorism</w:t>
      </w:r>
      <w:r>
        <w:t xml:space="preserve"> </w:t>
      </w:r>
      <w:r>
        <w:t xml:space="preserve">(9/11 only event of sufficient magnitude)</w:t>
      </w:r>
    </w:p>
    <w:p>
      <w:pPr>
        <w:pStyle w:val="FirstParagraph"/>
      </w:pPr>
      <w:r>
        <w:rPr>
          <w:bCs/>
          <w:b/>
        </w:rPr>
        <w:t xml:space="preserve">Outside these specific scenarios, top-layer XOL has been virtually loss-free.</w:t>
      </w:r>
    </w:p>
    <w:bookmarkEnd w:id="53"/>
    <w:bookmarkStart w:id="54" w:name="catastrophe-modelling"/>
    <w:p>
      <w:pPr>
        <w:pStyle w:val="Heading3"/>
      </w:pPr>
      <w:r>
        <w:t xml:space="preserve">8.3 Catastrophe Modelling</w:t>
      </w:r>
    </w:p>
    <w:p>
      <w:pPr>
        <w:pStyle w:val="FirstParagraph"/>
      </w:pPr>
      <w:r>
        <w:t xml:space="preserve">Connect will utilise:</w:t>
      </w:r>
    </w:p>
    <w:p>
      <w:pPr>
        <w:numPr>
          <w:ilvl w:val="0"/>
          <w:numId w:val="1016"/>
        </w:numPr>
        <w:pStyle w:val="Compact"/>
      </w:pPr>
      <w:r>
        <w:rPr>
          <w:bCs/>
          <w:b/>
        </w:rPr>
        <w:t xml:space="preserve">RMS Political Violence Model</w:t>
      </w:r>
      <w:r>
        <w:t xml:space="preserve"> </w:t>
      </w:r>
      <w:r>
        <w:t xml:space="preserve">— scenario-based analysis for terrorism and PV</w:t>
      </w:r>
    </w:p>
    <w:p>
      <w:pPr>
        <w:numPr>
          <w:ilvl w:val="0"/>
          <w:numId w:val="1016"/>
        </w:numPr>
        <w:pStyle w:val="Compact"/>
      </w:pPr>
      <w:r>
        <w:rPr>
          <w:bCs/>
          <w:b/>
        </w:rPr>
        <w:t xml:space="preserve">Internal deterministic scenarios</w:t>
      </w:r>
      <w:r>
        <w:t xml:space="preserve"> </w:t>
      </w:r>
      <w:r>
        <w:t xml:space="preserve">— bespoke loss scenarios for the specific portfolio composition</w:t>
      </w:r>
    </w:p>
    <w:p>
      <w:pPr>
        <w:numPr>
          <w:ilvl w:val="0"/>
          <w:numId w:val="1016"/>
        </w:numPr>
        <w:pStyle w:val="Compact"/>
      </w:pPr>
      <w:r>
        <w:rPr>
          <w:bCs/>
          <w:b/>
        </w:rPr>
        <w:t xml:space="preserve">Lloyd’s Realistic Disaster Scenarios (RDS)</w:t>
      </w:r>
      <w:r>
        <w:t xml:space="preserve"> </w:t>
      </w:r>
      <w:r>
        <w:t xml:space="preserve">— full compliance with Lloyd’s reporting requirements</w:t>
      </w:r>
    </w:p>
    <w:p>
      <w:pPr>
        <w:pStyle w:val="FirstParagraph"/>
      </w:pPr>
      <w:r>
        <w:t xml:space="preserve">Modelled tail losses (1-in-250 year return period):</w:t>
      </w:r>
      <w:r>
        <w:t xml:space="preserve"> </w:t>
      </w:r>
      <w:r>
        <w:rPr>
          <w:bCs/>
          <w:b/>
        </w:rPr>
        <w:t xml:space="preserve">USD 8–12M</w:t>
      </w:r>
      <w:r>
        <w:t xml:space="preserve"> </w:t>
      </w:r>
      <w:r>
        <w:t xml:space="preserve">on the projected Year 1 portfolio, well within Canopius capacity allocation.</w:t>
      </w:r>
    </w:p>
    <w:p>
      <w:r>
        <w:pict>
          <v:rect style="width:0;height:1.5pt" o:hralign="center" o:hrstd="t" o:hr="t"/>
        </w:pict>
      </w:r>
    </w:p>
    <w:bookmarkEnd w:id="54"/>
    <w:bookmarkEnd w:id="55"/>
    <w:bookmarkStart w:id="57" w:name="competitive-advantage"/>
    <w:p>
      <w:pPr>
        <w:pStyle w:val="Heading2"/>
      </w:pPr>
      <w:r>
        <w:t xml:space="preserve">9. Competitive Advantage</w:t>
      </w:r>
    </w:p>
    <w:bookmarkStart w:id="56" w:name="why-connect-why-now-why-this-strategy"/>
    <w:p>
      <w:pPr>
        <w:pStyle w:val="Heading3"/>
      </w:pPr>
      <w:r>
        <w:t xml:space="preserve">Why Connect? Why Now? Why This Strategy?</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Advantage</w:t>
            </w:r>
          </w:p>
        </w:tc>
        <w:tc>
          <w:tcPr/>
          <w:p>
            <w:pPr>
              <w:pStyle w:val="Compact"/>
              <w:jc w:val="left"/>
            </w:pPr>
            <w:r>
              <w:t xml:space="preserve">Detail</w:t>
            </w:r>
          </w:p>
        </w:tc>
      </w:tr>
      <w:tr>
        <w:tc>
          <w:tcPr/>
          <w:p>
            <w:pPr>
              <w:pStyle w:val="Compact"/>
              <w:jc w:val="left"/>
            </w:pPr>
            <w:r>
              <w:rPr>
                <w:bCs/>
                <w:b/>
              </w:rPr>
              <w:t xml:space="preserve">Pure-play XOL</w:t>
            </w:r>
          </w:p>
        </w:tc>
        <w:tc>
          <w:tcPr/>
          <w:p>
            <w:pPr>
              <w:pStyle w:val="Compact"/>
              <w:jc w:val="left"/>
            </w:pPr>
            <w:r>
              <w:t xml:space="preserve">No distraction from primary or proportional business. Every decision optimised for excess layer performance.</w:t>
            </w:r>
          </w:p>
        </w:tc>
      </w:tr>
      <w:tr>
        <w:tc>
          <w:tcPr/>
          <w:p>
            <w:pPr>
              <w:pStyle w:val="Compact"/>
              <w:jc w:val="left"/>
            </w:pPr>
            <w:r>
              <w:rPr>
                <w:bCs/>
                <w:b/>
              </w:rPr>
              <w:t xml:space="preserve">SRCC-free</w:t>
            </w:r>
          </w:p>
        </w:tc>
        <w:tc>
          <w:tcPr/>
          <w:p>
            <w:pPr>
              <w:pStyle w:val="Compact"/>
              <w:jc w:val="left"/>
            </w:pPr>
            <w:r>
              <w:t xml:space="preserve">In a market where SRCC losses are the #1 pain point, we have structurally zero exposure.</w:t>
            </w:r>
          </w:p>
        </w:tc>
      </w:tr>
      <w:tr>
        <w:tc>
          <w:tcPr/>
          <w:p>
            <w:pPr>
              <w:pStyle w:val="Compact"/>
              <w:jc w:val="left"/>
            </w:pPr>
            <w:r>
              <w:rPr>
                <w:bCs/>
                <w:b/>
              </w:rPr>
              <w:t xml:space="preserve">Middle East — prior submit</w:t>
            </w:r>
          </w:p>
        </w:tc>
        <w:tc>
          <w:tcPr/>
          <w:p>
            <w:pPr>
              <w:pStyle w:val="Compact"/>
              <w:jc w:val="left"/>
            </w:pPr>
            <w:r>
              <w:t xml:space="preserve">Middle East not excluded but jointly controlled. Both parties can selectively access quality XOL opportunities in the region — especially post-conflict reconstruction at historically attractive rates.</w:t>
            </w:r>
          </w:p>
        </w:tc>
      </w:tr>
      <w:tr>
        <w:tc>
          <w:tcPr/>
          <w:p>
            <w:pPr>
              <w:pStyle w:val="Compact"/>
              <w:jc w:val="left"/>
            </w:pPr>
            <w:r>
              <w:rPr>
                <w:bCs/>
                <w:b/>
              </w:rPr>
              <w:t xml:space="preserve">Timing</w:t>
            </w:r>
          </w:p>
        </w:tc>
        <w:tc>
          <w:tcPr/>
          <w:p>
            <w:pPr>
              <w:pStyle w:val="Compact"/>
              <w:jc w:val="left"/>
            </w:pPr>
            <w:r>
              <w:t xml:space="preserve">Entering at the peak of rate hardening — maximum premium for minimum risk.</w:t>
            </w:r>
          </w:p>
        </w:tc>
      </w:tr>
      <w:tr>
        <w:tc>
          <w:tcPr/>
          <w:p>
            <w:pPr>
              <w:pStyle w:val="Compact"/>
              <w:jc w:val="left"/>
            </w:pPr>
            <w:r>
              <w:rPr>
                <w:bCs/>
                <w:b/>
              </w:rPr>
              <w:t xml:space="preserve">Multi-channel distribution</w:t>
            </w:r>
          </w:p>
        </w:tc>
        <w:tc>
          <w:tcPr/>
          <w:p>
            <w:pPr>
              <w:pStyle w:val="Compact"/>
              <w:jc w:val="left"/>
            </w:pPr>
            <w:r>
              <w:t xml:space="preserve">London reinsurance brokers + worldwide brokers + GBN network (140 countries) + proprietary fac-on-fac pipeline. Four distinct, non-competing sources of business.</w:t>
            </w:r>
          </w:p>
        </w:tc>
      </w:tr>
      <w:tr>
        <w:tc>
          <w:tcPr/>
          <w:p>
            <w:pPr>
              <w:pStyle w:val="Compact"/>
              <w:jc w:val="left"/>
            </w:pPr>
            <w:r>
              <w:rPr>
                <w:bCs/>
                <w:b/>
              </w:rPr>
              <w:t xml:space="preserve">Fac-on-Fac edge</w:t>
            </w:r>
          </w:p>
        </w:tc>
        <w:tc>
          <w:tcPr/>
          <w:p>
            <w:pPr>
              <w:pStyle w:val="Compact"/>
              <w:jc w:val="left"/>
            </w:pPr>
            <w:r>
              <w:t xml:space="preserve">Existing property/energy fac book generates proprietary WT XOL deal flow with superior risk information — a source most competitors cannot access.</w:t>
            </w:r>
          </w:p>
        </w:tc>
      </w:tr>
      <w:tr>
        <w:tc>
          <w:tcPr/>
          <w:p>
            <w:pPr>
              <w:pStyle w:val="Compact"/>
              <w:jc w:val="left"/>
            </w:pPr>
            <w:r>
              <w:rPr>
                <w:bCs/>
                <w:b/>
              </w:rPr>
              <w:t xml:space="preserve">GBN Worldwide</w:t>
            </w:r>
          </w:p>
        </w:tc>
        <w:tc>
          <w:tcPr/>
          <w:p>
            <w:pPr>
              <w:pStyle w:val="Compact"/>
              <w:jc w:val="left"/>
            </w:pPr>
            <w:r>
              <w:t xml:space="preserve">140-country independent broker network gives Canopius access to cedants and markets that London-only facilities cannot reach.</w:t>
            </w:r>
          </w:p>
        </w:tc>
      </w:tr>
      <w:tr>
        <w:tc>
          <w:tcPr/>
          <w:p>
            <w:pPr>
              <w:pStyle w:val="Compact"/>
              <w:jc w:val="left"/>
            </w:pPr>
            <w:r>
              <w:rPr>
                <w:bCs/>
                <w:b/>
              </w:rPr>
              <w:t xml:space="preserve">Low capital consumption</w:t>
            </w:r>
          </w:p>
        </w:tc>
        <w:tc>
          <w:tcPr/>
          <w:p>
            <w:pPr>
              <w:pStyle w:val="Compact"/>
              <w:jc w:val="left"/>
            </w:pPr>
            <w:r>
              <w:t xml:space="preserve">XOL business is capital-efficient. High attachment = lower required capital per unit of premium.</w:t>
            </w:r>
          </w:p>
        </w:tc>
      </w:tr>
      <w:tr>
        <w:tc>
          <w:tcPr/>
          <w:p>
            <w:pPr>
              <w:pStyle w:val="Compact"/>
              <w:jc w:val="left"/>
            </w:pPr>
            <w:r>
              <w:rPr>
                <w:bCs/>
                <w:b/>
              </w:rPr>
              <w:t xml:space="preserve">Scalable</w:t>
            </w:r>
          </w:p>
        </w:tc>
        <w:tc>
          <w:tcPr/>
          <w:p>
            <w:pPr>
              <w:pStyle w:val="Compact"/>
              <w:jc w:val="left"/>
            </w:pPr>
            <w:r>
              <w:t xml:space="preserve">Strategy scales naturally as rates and relationships develop — clear path from USD 7.5M to USD 15M+.</w:t>
            </w:r>
          </w:p>
        </w:tc>
      </w:tr>
      <w:tr>
        <w:tc>
          <w:tcPr/>
          <w:p>
            <w:pPr>
              <w:pStyle w:val="Compact"/>
              <w:jc w:val="left"/>
            </w:pPr>
            <w:r>
              <w:rPr>
                <w:bCs/>
                <w:b/>
              </w:rPr>
              <w:t xml:space="preserve">Clean loss pick</w:t>
            </w:r>
          </w:p>
        </w:tc>
        <w:tc>
          <w:tcPr/>
          <w:p>
            <w:pPr>
              <w:pStyle w:val="Compact"/>
              <w:jc w:val="left"/>
            </w:pPr>
            <w:r>
              <w:t xml:space="preserve">Canopius adds a high-margin, low-volatility line that improves overall syndicate combined ratio.</w:t>
            </w:r>
          </w:p>
        </w:tc>
      </w:tr>
    </w:tbl>
    <w:p>
      <w:r>
        <w:pict>
          <v:rect style="width:0;height:1.5pt" o:hralign="center" o:hrstd="t" o:hr="t"/>
        </w:pict>
      </w:r>
    </w:p>
    <w:bookmarkEnd w:id="56"/>
    <w:bookmarkEnd w:id="57"/>
    <w:bookmarkStart w:id="61" w:name="governance-compliance-controls"/>
    <w:p>
      <w:pPr>
        <w:pStyle w:val="Heading2"/>
      </w:pPr>
      <w:r>
        <w:t xml:space="preserve">10. Governance, Compliance &amp; Controls</w:t>
      </w:r>
    </w:p>
    <w:bookmarkStart w:id="58" w:name="binder-controls"/>
    <w:p>
      <w:pPr>
        <w:pStyle w:val="Heading3"/>
      </w:pPr>
      <w:r>
        <w:t xml:space="preserve">10.1 Binder Controls</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Control</w:t>
            </w:r>
          </w:p>
        </w:tc>
        <w:tc>
          <w:tcPr/>
          <w:p>
            <w:pPr>
              <w:pStyle w:val="Compact"/>
              <w:jc w:val="left"/>
            </w:pPr>
            <w:r>
              <w:t xml:space="preserve">Detail</w:t>
            </w:r>
          </w:p>
        </w:tc>
      </w:tr>
      <w:tr>
        <w:tc>
          <w:tcPr/>
          <w:p>
            <w:pPr>
              <w:pStyle w:val="Compact"/>
              <w:jc w:val="left"/>
            </w:pPr>
            <w:r>
              <w:rPr>
                <w:bCs/>
                <w:b/>
              </w:rPr>
              <w:t xml:space="preserve">Binding Authority Limits</w:t>
            </w:r>
          </w:p>
        </w:tc>
        <w:tc>
          <w:tcPr/>
          <w:p>
            <w:pPr>
              <w:pStyle w:val="Compact"/>
              <w:jc w:val="left"/>
            </w:pPr>
            <w:r>
              <w:t xml:space="preserve">Max USD 25M any one risk; USD 50M aggregate per territory</w:t>
            </w:r>
          </w:p>
        </w:tc>
      </w:tr>
      <w:tr>
        <w:tc>
          <w:tcPr/>
          <w:p>
            <w:pPr>
              <w:pStyle w:val="Compact"/>
              <w:jc w:val="left"/>
            </w:pPr>
            <w:r>
              <w:rPr>
                <w:bCs/>
                <w:b/>
              </w:rPr>
              <w:t xml:space="preserve">Referral Triggers</w:t>
            </w:r>
          </w:p>
        </w:tc>
        <w:tc>
          <w:tcPr/>
          <w:p>
            <w:pPr>
              <w:pStyle w:val="Compact"/>
              <w:jc w:val="left"/>
            </w:pPr>
            <w:r>
              <w:t xml:space="preserve">Any risk USD 15M+;</w:t>
            </w:r>
            <w:r>
              <w:t xml:space="preserve"> </w:t>
            </w:r>
            <w:r>
              <w:rPr>
                <w:bCs/>
                <w:b/>
              </w:rPr>
              <w:t xml:space="preserve">all Middle East risks</w:t>
            </w:r>
            <w:r>
              <w:t xml:space="preserve"> </w:t>
            </w:r>
            <w:r>
              <w:t xml:space="preserve">(prior submit); any cedant below A- rating</w:t>
            </w:r>
          </w:p>
        </w:tc>
      </w:tr>
      <w:tr>
        <w:tc>
          <w:tcPr/>
          <w:p>
            <w:pPr>
              <w:pStyle w:val="Compact"/>
              <w:jc w:val="left"/>
            </w:pPr>
            <w:r>
              <w:rPr>
                <w:bCs/>
                <w:b/>
              </w:rPr>
              <w:t xml:space="preserve">Reporting</w:t>
            </w:r>
          </w:p>
        </w:tc>
        <w:tc>
          <w:tcPr/>
          <w:p>
            <w:pPr>
              <w:pStyle w:val="Compact"/>
              <w:jc w:val="left"/>
            </w:pPr>
            <w:r>
              <w:t xml:space="preserve">Monthly bordereau; quarterly portfolio review; annual audit</w:t>
            </w:r>
          </w:p>
        </w:tc>
      </w:tr>
      <w:tr>
        <w:tc>
          <w:tcPr/>
          <w:p>
            <w:pPr>
              <w:pStyle w:val="Compact"/>
              <w:jc w:val="left"/>
            </w:pPr>
            <w:r>
              <w:rPr>
                <w:bCs/>
                <w:b/>
              </w:rPr>
              <w:t xml:space="preserve">Pricing</w:t>
            </w:r>
          </w:p>
        </w:tc>
        <w:tc>
          <w:tcPr/>
          <w:p>
            <w:pPr>
              <w:pStyle w:val="Compact"/>
              <w:jc w:val="left"/>
            </w:pPr>
            <w:r>
              <w:t xml:space="preserve">All risks priced through Connect’s proprietary rating model; minimum rate-on-line thresholds enforced</w:t>
            </w:r>
          </w:p>
        </w:tc>
      </w:tr>
      <w:tr>
        <w:tc>
          <w:tcPr/>
          <w:p>
            <w:pPr>
              <w:pStyle w:val="Compact"/>
              <w:jc w:val="left"/>
            </w:pPr>
            <w:r>
              <w:rPr>
                <w:bCs/>
                <w:b/>
              </w:rPr>
              <w:t xml:space="preserve">Aggregation</w:t>
            </w:r>
          </w:p>
        </w:tc>
        <w:tc>
          <w:tcPr/>
          <w:p>
            <w:pPr>
              <w:pStyle w:val="Compact"/>
              <w:jc w:val="left"/>
            </w:pPr>
            <w:r>
              <w:t xml:space="preserve">Real-time aggregate monitoring by territory, peril, and cedant</w:t>
            </w:r>
          </w:p>
        </w:tc>
      </w:tr>
      <w:tr>
        <w:tc>
          <w:tcPr/>
          <w:p>
            <w:pPr>
              <w:pStyle w:val="Compact"/>
              <w:jc w:val="left"/>
            </w:pPr>
            <w:r>
              <w:rPr>
                <w:bCs/>
                <w:b/>
              </w:rPr>
              <w:t xml:space="preserve">Sanctions</w:t>
            </w:r>
          </w:p>
        </w:tc>
        <w:tc>
          <w:tcPr/>
          <w:p>
            <w:pPr>
              <w:pStyle w:val="Compact"/>
              <w:jc w:val="left"/>
            </w:pPr>
            <w:r>
              <w:t xml:space="preserve">Full OFAC/EU/UK sanctions screening on all placements</w:t>
            </w:r>
          </w:p>
        </w:tc>
      </w:tr>
      <w:tr>
        <w:tc>
          <w:tcPr/>
          <w:p>
            <w:pPr>
              <w:pStyle w:val="Compact"/>
              <w:jc w:val="left"/>
            </w:pPr>
            <w:r>
              <w:rPr>
                <w:bCs/>
                <w:b/>
              </w:rPr>
              <w:t xml:space="preserve">Lloyd’s Compliance</w:t>
            </w:r>
          </w:p>
        </w:tc>
        <w:tc>
          <w:tcPr/>
          <w:p>
            <w:pPr>
              <w:pStyle w:val="Compact"/>
              <w:jc w:val="left"/>
            </w:pPr>
            <w:r>
              <w:t xml:space="preserve">Full adherence to Lloyd’s minimum standards for coverholders and delegated authority</w:t>
            </w:r>
          </w:p>
        </w:tc>
      </w:tr>
    </w:tbl>
    <w:bookmarkEnd w:id="58"/>
    <w:bookmarkStart w:id="59" w:name="key-personnel"/>
    <w:p>
      <w:pPr>
        <w:pStyle w:val="Heading3"/>
      </w:pPr>
      <w:r>
        <w:t xml:space="preserve">10.2 Key Personnel</w:t>
      </w:r>
    </w:p>
    <w:p>
      <w:pPr>
        <w:pStyle w:val="FirstParagraph"/>
      </w:pPr>
      <w:r>
        <w:t xml:space="preserve">Connect’s underwriting, claims, compliance, and actuarial team are fully staffed and operational, with direct experience across specialty reinsurance, political violence, and Lloyd’s delegated authority management. Full CVs and organisational structure are available on request.</w:t>
      </w:r>
    </w:p>
    <w:bookmarkEnd w:id="59"/>
    <w:bookmarkStart w:id="60" w:name="lloyds-oversight"/>
    <w:p>
      <w:pPr>
        <w:pStyle w:val="Heading3"/>
      </w:pPr>
      <w:r>
        <w:t xml:space="preserve">10.3 Lloyd’s Oversight</w:t>
      </w:r>
    </w:p>
    <w:p>
      <w:pPr>
        <w:pStyle w:val="FirstParagraph"/>
      </w:pPr>
      <w:r>
        <w:t xml:space="preserve">Connect acknowledges and welcomes Canopius’s oversight role, including:</w:t>
      </w:r>
    </w:p>
    <w:p>
      <w:pPr>
        <w:numPr>
          <w:ilvl w:val="0"/>
          <w:numId w:val="1017"/>
        </w:numPr>
        <w:pStyle w:val="Compact"/>
      </w:pPr>
      <w:r>
        <w:t xml:space="preserve">Pre-bind referral on risks above stated limits</w:t>
      </w:r>
    </w:p>
    <w:p>
      <w:pPr>
        <w:numPr>
          <w:ilvl w:val="0"/>
          <w:numId w:val="1017"/>
        </w:numPr>
        <w:pStyle w:val="Compact"/>
      </w:pPr>
      <w:r>
        <w:t xml:space="preserve">Quarterly portfolio reviews with Canopius underwriting management</w:t>
      </w:r>
    </w:p>
    <w:p>
      <w:pPr>
        <w:numPr>
          <w:ilvl w:val="0"/>
          <w:numId w:val="1017"/>
        </w:numPr>
        <w:pStyle w:val="Compact"/>
      </w:pPr>
      <w:r>
        <w:t xml:space="preserve">Annual business plan review and renewal approval</w:t>
      </w:r>
    </w:p>
    <w:p>
      <w:pPr>
        <w:numPr>
          <w:ilvl w:val="0"/>
          <w:numId w:val="1017"/>
        </w:numPr>
        <w:pStyle w:val="Compact"/>
      </w:pPr>
      <w:r>
        <w:t xml:space="preserve">Ad hoc audits as required</w:t>
      </w:r>
    </w:p>
    <w:p>
      <w:r>
        <w:pict>
          <v:rect style="width:0;height:1.5pt" o:hralign="center" o:hrstd="t" o:hr="t"/>
        </w:pict>
      </w:r>
    </w:p>
    <w:bookmarkEnd w:id="60"/>
    <w:bookmarkEnd w:id="61"/>
    <w:bookmarkStart w:id="62" w:name="appendices"/>
    <w:p>
      <w:pPr>
        <w:pStyle w:val="Heading2"/>
      </w:pPr>
      <w:r>
        <w:t xml:space="preserve">11. Appendices</w:t>
      </w:r>
    </w:p>
    <w:p>
      <w:pPr>
        <w:pStyle w:val="FirstParagraph"/>
      </w:pPr>
      <w:r>
        <w:t xml:space="preserve">Available on request:</w:t>
      </w:r>
    </w:p>
    <w:p>
      <w:pPr>
        <w:numPr>
          <w:ilvl w:val="0"/>
          <w:numId w:val="1018"/>
        </w:numPr>
        <w:pStyle w:val="Compact"/>
      </w:pPr>
      <w:r>
        <w:rPr>
          <w:bCs/>
          <w:b/>
        </w:rPr>
        <w:t xml:space="preserve">Appendix A</w:t>
      </w:r>
      <w:r>
        <w:t xml:space="preserve"> </w:t>
      </w:r>
      <w:r>
        <w:t xml:space="preserve">— Specimen Slip Wording (LMA5036/LMA5037 basis)</w:t>
      </w:r>
    </w:p>
    <w:p>
      <w:pPr>
        <w:numPr>
          <w:ilvl w:val="0"/>
          <w:numId w:val="1018"/>
        </w:numPr>
        <w:pStyle w:val="Compact"/>
      </w:pPr>
      <w:r>
        <w:rPr>
          <w:bCs/>
          <w:b/>
        </w:rPr>
        <w:t xml:space="preserve">Appendix B</w:t>
      </w:r>
      <w:r>
        <w:t xml:space="preserve"> </w:t>
      </w:r>
      <w:r>
        <w:t xml:space="preserve">— Team CVs and Organisational Chart</w:t>
      </w:r>
    </w:p>
    <w:p>
      <w:pPr>
        <w:numPr>
          <w:ilvl w:val="0"/>
          <w:numId w:val="1018"/>
        </w:numPr>
        <w:pStyle w:val="Compact"/>
      </w:pPr>
      <w:r>
        <w:rPr>
          <w:bCs/>
          <w:b/>
        </w:rPr>
        <w:t xml:space="preserve">Appendix C</w:t>
      </w:r>
      <w:r>
        <w:t xml:space="preserve"> </w:t>
      </w:r>
      <w:r>
        <w:t xml:space="preserve">— Broker Pipeline Detail (by channel and geography)</w:t>
      </w:r>
    </w:p>
    <w:p>
      <w:pPr>
        <w:numPr>
          <w:ilvl w:val="0"/>
          <w:numId w:val="1018"/>
        </w:numPr>
        <w:pStyle w:val="Compact"/>
      </w:pPr>
      <w:r>
        <w:rPr>
          <w:bCs/>
          <w:b/>
        </w:rPr>
        <w:t xml:space="preserve">Appendix D</w:t>
      </w:r>
      <w:r>
        <w:t xml:space="preserve"> </w:t>
      </w:r>
      <w:r>
        <w:t xml:space="preserve">— Lloyd’s Realistic Disaster Scenarios (RDS)</w:t>
      </w:r>
    </w:p>
    <w:p>
      <w:pPr>
        <w:numPr>
          <w:ilvl w:val="0"/>
          <w:numId w:val="1018"/>
        </w:numPr>
        <w:pStyle w:val="Compact"/>
      </w:pPr>
      <w:r>
        <w:rPr>
          <w:bCs/>
          <w:b/>
        </w:rPr>
        <w:t xml:space="preserve">Appendix E</w:t>
      </w:r>
      <w:r>
        <w:t xml:space="preserve"> </w:t>
      </w:r>
      <w:r>
        <w:t xml:space="preserve">— Rating Model Summary and Minimum Rate-on-Line Thresholds</w:t>
      </w:r>
    </w:p>
    <w:p>
      <w:pPr>
        <w:numPr>
          <w:ilvl w:val="0"/>
          <w:numId w:val="1018"/>
        </w:numPr>
        <w:pStyle w:val="Compact"/>
      </w:pPr>
      <w:r>
        <w:rPr>
          <w:bCs/>
          <w:b/>
        </w:rPr>
        <w:t xml:space="preserve">Appendix F</w:t>
      </w:r>
      <w:r>
        <w:t xml:space="preserve"> </w:t>
      </w:r>
      <w:r>
        <w:t xml:space="preserve">— Aggregate Management Framework</w:t>
      </w:r>
    </w:p>
    <w:p>
      <w:pPr>
        <w:numPr>
          <w:ilvl w:val="0"/>
          <w:numId w:val="1018"/>
        </w:numPr>
        <w:pStyle w:val="Compact"/>
      </w:pPr>
      <w:r>
        <w:rPr>
          <w:bCs/>
          <w:b/>
        </w:rPr>
        <w:t xml:space="preserve">Appendix G</w:t>
      </w:r>
      <w:r>
        <w:t xml:space="preserve"> </w:t>
      </w:r>
      <w:r>
        <w:t xml:space="preserve">— GBN Worldwide Network — Member Directory and Referral Protocol</w:t>
      </w:r>
    </w:p>
    <w:p>
      <w:pPr>
        <w:numPr>
          <w:ilvl w:val="0"/>
          <w:numId w:val="1018"/>
        </w:numPr>
        <w:pStyle w:val="Compact"/>
      </w:pPr>
      <w:r>
        <w:rPr>
          <w:bCs/>
          <w:b/>
        </w:rPr>
        <w:t xml:space="preserve">Appendix H</w:t>
      </w:r>
      <w:r>
        <w:t xml:space="preserve"> </w:t>
      </w:r>
      <w:r>
        <w:t xml:space="preserve">— Fac-on-Fac Pipeline — Underlying Property/Energy Risks with WT XOL Requirements</w:t>
      </w:r>
    </w:p>
    <w:p>
      <w:r>
        <w:pict>
          <v:rect style="width:0;height:1.5pt" o:hralign="center" o:hrstd="t" o:hr="t"/>
        </w:pict>
      </w:r>
    </w:p>
    <w:p>
      <w:pPr>
        <w:pStyle w:val="FirstParagraph"/>
      </w:pPr>
      <w:r>
        <w:rPr>
          <w:bCs/>
          <w:b/>
        </w:rPr>
        <w:t xml:space="preserve">Prepared by:</w:t>
      </w:r>
      <w:r>
        <w:t xml:space="preserve"> </w:t>
      </w:r>
      <w:r>
        <w:t xml:space="preserve">Connect Underwriting Ltd</w:t>
      </w:r>
      <w:r>
        <w:t xml:space="preserve"> </w:t>
      </w:r>
      <w:r>
        <w:rPr>
          <w:bCs/>
          <w:b/>
        </w:rPr>
        <w:t xml:space="preserve">For:</w:t>
      </w:r>
      <w:r>
        <w:t xml:space="preserve"> </w:t>
      </w:r>
      <w:r>
        <w:t xml:space="preserve">Canopius Syndicate, Lloyd’s of London</w:t>
      </w:r>
      <w:r>
        <w:t xml:space="preserve"> </w:t>
      </w:r>
      <w:r>
        <w:rPr>
          <w:bCs/>
          <w:b/>
        </w:rPr>
        <w:t xml:space="preserve">Date:</w:t>
      </w:r>
      <w:r>
        <w:t xml:space="preserve"> </w:t>
      </w:r>
      <w:r>
        <w:t xml:space="preserve">March 2026</w:t>
      </w:r>
      <w:r>
        <w:t xml:space="preserve"> </w:t>
      </w:r>
      <w:r>
        <w:rPr>
          <w:bCs/>
          <w:b/>
        </w:rPr>
        <w:t xml:space="preserve">Document:</w:t>
      </w:r>
      <w:r>
        <w:t xml:space="preserve"> </w:t>
      </w:r>
      <w:r>
        <w:t xml:space="preserve">Updated Strategy — V2.0</w:t>
      </w:r>
    </w:p>
    <w:p>
      <w:r>
        <w:pict>
          <v:rect style="width:0;height:1.5pt" o:hralign="center" o:hrstd="t" o:hr="t"/>
        </w:pict>
      </w:r>
    </w:p>
    <w:p>
      <w:pPr>
        <w:pStyle w:val="FirstParagraph"/>
      </w:pPr>
      <w:r>
        <w:rPr>
          <w:iCs/>
          <w:i/>
        </w:rPr>
        <w:t xml:space="preserve">This document is confidential and intended solely for the use of Canopius Syndicate in evaluating the proposed delegated underwriting authority. It may not be distributed or reproduced without the prior written consent of Connect Underwriting Ltd.</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 &amp; Terrorism Excess of Loss Binder — Updated Strategy</dc:title>
  <dc:creator>Connect Underwriting Ltd</dc:creator>
  <cp:keywords/>
  <dcterms:created xsi:type="dcterms:W3CDTF">2026-03-29T15:49:01Z</dcterms:created>
  <dcterms:modified xsi:type="dcterms:W3CDTF">2026-03-29T15:49:01Z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March 2026</vt:lpwstr>
  </property>
</Properties>
</file>